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___________________, с другой стороны,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</w:t>
      </w:r>
      <w:r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именуемые Стороны, а по отдельности Сторона, </w:t>
      </w:r>
      <w:r>
        <w:rPr>
          <w:sz w:val="24"/>
          <w:szCs w:val="24"/>
        </w:rPr>
        <w:br/>
      </w:r>
      <w:r>
        <w:rPr>
          <w:sz w:val="24"/>
          <w:szCs w:val="24"/>
          <w:highlight w:val="none"/>
          <w:lang w:eastAsia="en-US"/>
        </w:rPr>
        <w:t xml:space="preserve">по </w:t>
      </w:r>
      <w:r>
        <w:rPr>
          <w:sz w:val="24"/>
          <w:szCs w:val="24"/>
          <w:highlight w:val="none"/>
          <w:lang w:eastAsia="en-US"/>
        </w:rPr>
        <w:t xml:space="preserve">результатам </w:t>
      </w:r>
      <w:r>
        <w:rPr>
          <w:sz w:val="24"/>
          <w:szCs w:val="24"/>
          <w:highlight w:val="none"/>
          <w:lang w:eastAsia="en-US"/>
        </w:rPr>
        <w:t xml:space="preserve">проведенной Покупателем </w:t>
      </w:r>
      <w:r>
        <w:rPr>
          <w:sz w:val="24"/>
          <w:szCs w:val="24"/>
          <w:highlight w:val="none"/>
          <w:lang w:eastAsia="en-US"/>
        </w:rPr>
        <w:t xml:space="preserve">конкурентной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закупочной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процедуры </w:t>
      </w:r>
      <w:r>
        <w:rPr>
          <w:sz w:val="24"/>
          <w:szCs w:val="24"/>
          <w:highlight w:val="none"/>
          <w:lang w:eastAsia="en-US"/>
        </w:rPr>
        <w:t xml:space="preserve">по лоту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№ </w:t>
      </w:r>
      <w:r>
        <w:rPr>
          <w:sz w:val="24"/>
          <w:szCs w:val="24"/>
          <w:highlight w:val="none"/>
          <w:lang w:eastAsia="en-US"/>
        </w:rPr>
        <w:t xml:space="preserve">_____ и на основании </w:t>
      </w:r>
      <w:r>
        <w:rPr>
          <w:sz w:val="24"/>
          <w:szCs w:val="24"/>
          <w:highlight w:val="none"/>
          <w:lang w:eastAsia="en-US"/>
        </w:rPr>
        <w:t xml:space="preserve">протокола от ______ №______,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заключили 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(далее – «Договор»)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</w:t>
      </w:r>
      <w:r>
        <w:rPr>
          <w:bCs/>
          <w:sz w:val="24"/>
          <w:szCs w:val="24"/>
          <w:highlight w:val="none"/>
        </w:rPr>
        <w:t xml:space="preserve">дующие значения, если иное прямо не указано в Договоре: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</w:t>
      </w:r>
      <w:r>
        <w:rPr>
          <w:b/>
          <w:sz w:val="24"/>
          <w:szCs w:val="24"/>
          <w:highlight w:val="none"/>
          <w:lang w:eastAsia="en-US"/>
        </w:rPr>
        <w:t xml:space="preserve">входного контроля»</w:t>
      </w:r>
      <w:r>
        <w:rPr>
          <w:sz w:val="24"/>
          <w:szCs w:val="24"/>
          <w:highlight w:val="none"/>
          <w:lang w:eastAsia="en-US"/>
        </w:rPr>
        <w:t xml:space="preserve"> – документ, оформля</w:t>
      </w:r>
      <w:r>
        <w:rPr>
          <w:sz w:val="24"/>
          <w:szCs w:val="24"/>
          <w:highlight w:val="none"/>
          <w:lang w:eastAsia="en-US"/>
        </w:rPr>
        <w:t xml:space="preserve">емый </w:t>
      </w:r>
      <w:r>
        <w:rPr>
          <w:sz w:val="24"/>
          <w:szCs w:val="24"/>
          <w:highlight w:val="none"/>
          <w:lang w:eastAsia="en-US"/>
        </w:rPr>
        <w:t xml:space="preserve">Покупателем </w:t>
      </w:r>
      <w:r>
        <w:rPr>
          <w:sz w:val="24"/>
          <w:szCs w:val="24"/>
          <w:highlight w:val="non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none"/>
          <w:lang w:eastAsia="en-US"/>
        </w:rPr>
        <w:t xml:space="preserve">по количеству</w:t>
      </w:r>
      <w:r>
        <w:rPr>
          <w:sz w:val="24"/>
          <w:szCs w:val="24"/>
          <w:highlight w:val="none"/>
          <w:lang w:eastAsia="en-US"/>
        </w:rPr>
        <w:t xml:space="preserve">,</w:t>
      </w:r>
      <w:r>
        <w:rPr>
          <w:sz w:val="24"/>
          <w:szCs w:val="24"/>
          <w:highlight w:val="none"/>
          <w:lang w:eastAsia="en-US"/>
        </w:rPr>
        <w:t xml:space="preserve"> качеству</w:t>
      </w:r>
      <w:r>
        <w:rPr>
          <w:sz w:val="24"/>
          <w:szCs w:val="24"/>
          <w:highlight w:val="none"/>
          <w:lang w:eastAsia="en-US"/>
        </w:rPr>
        <w:t xml:space="preserve"> и комплектности</w:t>
      </w:r>
      <w:r>
        <w:rPr>
          <w:sz w:val="24"/>
          <w:szCs w:val="24"/>
          <w:highlight w:val="none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«Гарантийный срок»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– период,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highlight w:val="none"/>
          <w:lang w:eastAsia="en-US"/>
        </w:rPr>
        <w:t xml:space="preserve">и Поставщик и/ или изготовитель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Товара </w:t>
      </w:r>
      <w:r>
        <w:rPr>
          <w:sz w:val="24"/>
          <w:szCs w:val="24"/>
          <w:highlight w:val="non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highlight w:val="none"/>
          <w:lang w:eastAsia="en-US"/>
        </w:rPr>
        <w:t xml:space="preserve">Т</w:t>
      </w:r>
      <w:r>
        <w:rPr>
          <w:sz w:val="24"/>
          <w:szCs w:val="24"/>
          <w:highlight w:val="none"/>
          <w:lang w:eastAsia="en-US"/>
        </w:rPr>
        <w:t xml:space="preserve">овара.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«Грузополучатели»</w:t>
      </w:r>
      <w:r>
        <w:rPr>
          <w:sz w:val="24"/>
          <w:szCs w:val="24"/>
          <w:highlight w:val="non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highlight w:val="none"/>
          <w:lang w:eastAsia="en-US"/>
        </w:rPr>
        <w:t xml:space="preserve">«Договор»</w:t>
      </w:r>
      <w:r>
        <w:rPr>
          <w:sz w:val="24"/>
          <w:szCs w:val="24"/>
          <w:highlight w:val="none"/>
          <w:lang w:eastAsia="en-US"/>
        </w:rPr>
        <w:t xml:space="preserve"> – настоящий договор, подписанный </w:t>
      </w:r>
      <w:r>
        <w:rPr>
          <w:sz w:val="24"/>
          <w:szCs w:val="24"/>
          <w:highlight w:val="none"/>
          <w:lang w:eastAsia="en-US"/>
        </w:rPr>
        <w:t xml:space="preserve">Покупателем и Поставщиком, включая </w:t>
      </w:r>
      <w:r>
        <w:rPr>
          <w:sz w:val="24"/>
          <w:szCs w:val="24"/>
          <w:lang w:eastAsia="en-US"/>
        </w:rPr>
        <w:t xml:space="preserve">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65"/>
        <w:ind w:left="0" w:firstLine="709"/>
        <w:jc w:val="both"/>
        <w:spacing w:line="240" w:lineRule="auto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«УПД»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универсальный передаточный до</w:t>
      </w:r>
      <w:r>
        <w:rPr>
          <w:b/>
          <w:sz w:val="24"/>
          <w:szCs w:val="24"/>
          <w:lang w:eastAsia="en-US"/>
        </w:rPr>
        <w:t xml:space="preserve">кумент - </w:t>
      </w:r>
      <w:r>
        <w:rPr>
          <w:sz w:val="24"/>
          <w:szCs w:val="24"/>
          <w:lang w:eastAsia="en-US"/>
        </w:rPr>
        <w:t xml:space="preserve">документ, утвержденной приказом ФНС России от 19.12.2023 №ЕД-7-26/970@, подписываемый Сторонами после завершения приемки Товара по количеству, качеству и комплектности.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43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center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highlight w:val="none"/>
        </w:rPr>
        <w:t xml:space="preserve">запасные части к отечественным автомобилям</w:t>
      </w:r>
      <w:r>
        <w:rPr>
          <w:bCs/>
          <w:sz w:val="24"/>
          <w:szCs w:val="24"/>
        </w:rPr>
        <w:t xml:space="preserve">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 </w:t>
      </w:r>
      <w:r>
        <w:rPr>
          <w:bCs/>
          <w:sz w:val="24"/>
          <w:szCs w:val="24"/>
        </w:rPr>
        <w:t xml:space="preserve">31.12.2026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Срок поставки Товара (партии Товара) по Заявке составляет </w:t>
      </w:r>
      <w:r>
        <w:rPr>
          <w:bCs/>
          <w:sz w:val="24"/>
          <w:szCs w:val="24"/>
        </w:rPr>
        <w:t xml:space="preserve">45 (сорок пять) календарных</w:t>
      </w:r>
      <w:r>
        <w:rPr>
          <w:bCs/>
          <w:sz w:val="24"/>
          <w:szCs w:val="24"/>
        </w:rPr>
        <w:t xml:space="preserve"> дней с даты получения Поставщиком Заявки Покупателя.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Цена Договора и порядок </w:t>
      </w:r>
      <w:r>
        <w:rPr>
          <w:b/>
          <w:bCs/>
          <w:sz w:val="24"/>
          <w:szCs w:val="24"/>
        </w:rPr>
        <w:t xml:space="preserve">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</w:rPr>
        <w:t xml:space="preserve">Цена Договора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является предельной и составляет </w:t>
      </w:r>
      <w:r>
        <w:rPr>
          <w:sz w:val="24"/>
          <w:szCs w:val="24"/>
        </w:rPr>
        <w:t xml:space="preserve"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</w:t>
      </w:r>
      <w:r>
        <w:rPr>
          <w:bCs/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bCs/>
          <w:sz w:val="24"/>
          <w:szCs w:val="24"/>
        </w:rPr>
        <w:t xml:space="preserve"> копеек</w:t>
      </w:r>
      <w:r>
        <w:rPr>
          <w:bCs/>
          <w:sz w:val="24"/>
          <w:szCs w:val="24"/>
        </w:rPr>
        <w:t xml:space="preserve">, в том числе </w:t>
      </w:r>
      <w:r>
        <w:rPr>
          <w:bCs/>
          <w:sz w:val="24"/>
          <w:szCs w:val="24"/>
        </w:rPr>
        <w:t xml:space="preserve">НДС</w:t>
      </w:r>
      <w:r>
        <w:rPr>
          <w:bCs/>
          <w:sz w:val="24"/>
          <w:szCs w:val="24"/>
        </w:rPr>
        <w:t xml:space="preserve"> (2</w:t>
      </w:r>
      <w:r>
        <w:rPr>
          <w:bCs/>
          <w:sz w:val="24"/>
          <w:szCs w:val="24"/>
        </w:rPr>
        <w:t xml:space="preserve">2%) составляет _______ (_________) рублей ___ копеек.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Увеличение цены</w:t>
      </w:r>
      <w:r>
        <w:rPr>
          <w:sz w:val="24"/>
          <w:szCs w:val="24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858" w:leader="none"/>
          <w:tab w:val="left" w:pos="1134" w:leader="none"/>
          <w:tab w:val="left" w:pos="1417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оплаты: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оплата в размере 100% стоимости поставленной партии продукции производится по факту поставки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течени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7 (семи) рабочих дней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даты подписания Покупателем товарной УПД, при наличии акта входного контроля.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Обязательство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Индексация Цены Договора не </w:t>
      </w:r>
      <w:r>
        <w:rPr>
          <w:sz w:val="24"/>
          <w:szCs w:val="24"/>
          <w:highlight w:val="none"/>
        </w:rPr>
        <w:t xml:space="preserve">допускается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Поставщик обязан представить Покупателю </w:t>
      </w:r>
      <w:r>
        <w:rPr>
          <w:sz w:val="24"/>
          <w:szCs w:val="24"/>
          <w:highlight w:val="none"/>
        </w:rPr>
        <w:t xml:space="preserve">универсальные передаточные документы (далее УПД)</w:t>
      </w:r>
      <w:r>
        <w:rPr>
          <w:sz w:val="24"/>
          <w:szCs w:val="24"/>
          <w:highlight w:val="non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none"/>
        </w:rPr>
        <w:t xml:space="preserve">В</w:t>
      </w:r>
      <w:r>
        <w:rPr>
          <w:sz w:val="24"/>
          <w:szCs w:val="24"/>
          <w:highlight w:val="none"/>
        </w:rPr>
        <w:t xml:space="preserve"> случае нарушения Поставщиком данного требования, он обязан произвести замену </w:t>
      </w:r>
      <w:r>
        <w:rPr>
          <w:sz w:val="24"/>
          <w:szCs w:val="24"/>
          <w:highlight w:val="none"/>
        </w:rPr>
        <w:t xml:space="preserve">УПД</w:t>
      </w:r>
      <w:r>
        <w:rPr>
          <w:sz w:val="24"/>
          <w:szCs w:val="24"/>
          <w:highlight w:val="none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Поставщик обязан </w:t>
      </w:r>
      <w:r>
        <w:rPr>
          <w:sz w:val="24"/>
          <w:szCs w:val="24"/>
          <w:highlight w:val="none"/>
        </w:rPr>
        <w:t xml:space="preserve">п</w:t>
      </w:r>
      <w:r>
        <w:rPr>
          <w:sz w:val="24"/>
          <w:szCs w:val="24"/>
          <w:highlight w:val="non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none"/>
        </w:rPr>
        <w:t xml:space="preserve">Покупателем</w:t>
      </w:r>
      <w:r>
        <w:rPr>
          <w:sz w:val="24"/>
          <w:szCs w:val="24"/>
          <w:highlight w:val="non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none"/>
        </w:rPr>
        <w:t xml:space="preserve">Покупателю</w:t>
      </w:r>
      <w:r>
        <w:rPr>
          <w:sz w:val="24"/>
          <w:szCs w:val="24"/>
          <w:highlight w:val="none"/>
        </w:rPr>
        <w:t xml:space="preserve"> в те</w:t>
      </w:r>
      <w:r>
        <w:rPr>
          <w:sz w:val="24"/>
          <w:szCs w:val="24"/>
          <w:highlight w:val="none"/>
        </w:rPr>
        <w:t xml:space="preserve">чение 5 (пяти) рабочих дней с даты получения экземпляров актов сверки расчетов от </w:t>
      </w:r>
      <w:r>
        <w:rPr>
          <w:sz w:val="24"/>
          <w:szCs w:val="24"/>
          <w:highlight w:val="none"/>
        </w:rPr>
        <w:t xml:space="preserve">Покупателя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  <w:highlight w:val="none"/>
        </w:rPr>
        <w:t xml:space="preserve">Покупатель</w:t>
      </w:r>
      <w:r>
        <w:rPr>
          <w:sz w:val="24"/>
          <w:highlight w:val="none"/>
        </w:rPr>
        <w:t xml:space="preserve"> вправе произвест</w:t>
      </w:r>
      <w:r>
        <w:rPr>
          <w:sz w:val="24"/>
          <w:highlight w:val="none"/>
        </w:rPr>
        <w:t xml:space="preserve">и сальдо взаимных обязательств С</w:t>
      </w:r>
      <w:r>
        <w:rPr>
          <w:sz w:val="24"/>
          <w:highlight w:val="none"/>
        </w:rPr>
        <w:t xml:space="preserve">торон путем уменьшения сумм причитающихся </w:t>
      </w:r>
      <w:r>
        <w:rPr>
          <w:sz w:val="24"/>
          <w:highlight w:val="none"/>
        </w:rPr>
        <w:t xml:space="preserve">Поставщику</w:t>
      </w:r>
      <w:r>
        <w:rPr>
          <w:sz w:val="24"/>
          <w:highlight w:val="none"/>
        </w:rPr>
        <w:t xml:space="preserve"> платежей по Договору, а также по взаимосвязанным</w:t>
      </w:r>
      <w:r>
        <w:rPr>
          <w:sz w:val="24"/>
        </w:rPr>
        <w:t xml:space="preserve"> договорам (цепочке договоров), в рамках единого комплекса</w:t>
      </w:r>
      <w:r>
        <w:rPr>
          <w:sz w:val="24"/>
        </w:rPr>
        <w:t xml:space="preserve"> хозяйственных взаимоотношений С</w:t>
      </w:r>
      <w:r>
        <w:rPr>
          <w:sz w:val="24"/>
        </w:rPr>
        <w:t xml:space="preserve">торон, направленных на исполнение Договора, на 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9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Обеспечительный платеж в размере: </w:t>
      </w:r>
      <w:r>
        <w:rPr>
          <w:rFonts w:ascii="Times New Roman" w:hAnsi="Times New Roman" w:cs="Times New Roman"/>
          <w:sz w:val="24"/>
          <w:szCs w:val="24"/>
        </w:rPr>
        <w:t xml:space="preserve">5% от цены договора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НДС не облагается,  внесенный Поставщиком на счет Покупателя: ДАЛЬНЕВОСТОЧНЫЙ БАНК ПАО СБЕРБАНК, БИК 040813608, К/счет 301 018 106 000 000 006 08, Р/счет 407 028 102 700 000 088 18 в качестве обеспечения исполнения обязательс</w:t>
      </w:r>
      <w:r>
        <w:rPr>
          <w:rFonts w:ascii="Times New Roman" w:hAnsi="Times New Roman" w:cs="Times New Roman"/>
          <w:sz w:val="24"/>
          <w:szCs w:val="24"/>
        </w:rPr>
        <w:t xml:space="preserve">тв по Договору в течени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 10 (десяти) календарных дней с даты официальной публикации протокола по выбору победителя в Единой информационной системе в сфере закупок (www.zakupki.gov.ru), подлежит возврату Покупателем в течение 70 (семидесяти) рабочих дней с </w:t>
      </w:r>
      <w:r>
        <w:rPr>
          <w:rFonts w:ascii="Times New Roman" w:hAnsi="Times New Roman" w:cs="Times New Roman"/>
          <w:sz w:val="24"/>
          <w:szCs w:val="24"/>
        </w:rPr>
        <w:t xml:space="preserve">даты</w:t>
      </w:r>
      <w:r>
        <w:rPr>
          <w:rFonts w:ascii="Times New Roman" w:hAnsi="Times New Roman" w:cs="Times New Roman"/>
          <w:sz w:val="24"/>
          <w:szCs w:val="24"/>
        </w:rPr>
        <w:t xml:space="preserve"> полного исполне</w:t>
      </w:r>
      <w:r>
        <w:rPr>
          <w:rFonts w:ascii="Times New Roman" w:hAnsi="Times New Roman" w:cs="Times New Roman"/>
          <w:sz w:val="24"/>
          <w:szCs w:val="24"/>
        </w:rPr>
        <w:t xml:space="preserve">ния обязательств по заключенному Договору со стороны Поставщика, включая обязательства по оплате неустойки (пеней, штрафов), установленных Договором, и возмещения причинённых убытков в связи с ненадлежащим исполнением Поставщиком обязательств по Договору.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неисполнения Поставщиком обязательств по поставке продукции в полном объеме, в срок, указанный в договоре, Покупатель вправе удержать из обеспечительного платежа сумму начисленных Поставщику пеней и ш</w:t>
      </w:r>
      <w:r>
        <w:rPr>
          <w:rFonts w:ascii="Times New Roman" w:hAnsi="Times New Roman" w:cs="Times New Roman"/>
          <w:sz w:val="24"/>
          <w:szCs w:val="24"/>
        </w:rPr>
        <w:t xml:space="preserve">трафов, установленных разделом 6 настоящего Договора,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сумма неустойки (пеней и штрафов) установл</w:t>
      </w:r>
      <w:r>
        <w:rPr>
          <w:rFonts w:ascii="Times New Roman" w:hAnsi="Times New Roman" w:cs="Times New Roman"/>
          <w:sz w:val="24"/>
          <w:szCs w:val="24"/>
        </w:rPr>
        <w:t xml:space="preserve">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</w:t>
      </w:r>
      <w:r>
        <w:rPr>
          <w:rFonts w:ascii="Times New Roman" w:hAnsi="Times New Roman" w:cs="Times New Roman"/>
          <w:sz w:val="24"/>
          <w:szCs w:val="24"/>
        </w:rPr>
        <w:t xml:space="preserve">даты</w:t>
      </w:r>
      <w:r>
        <w:rPr>
          <w:rFonts w:ascii="Times New Roman" w:hAnsi="Times New Roman" w:cs="Times New Roman"/>
          <w:sz w:val="24"/>
          <w:szCs w:val="24"/>
        </w:rPr>
        <w:t xml:space="preserve"> получения претензии с требованием об оплате.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41"/>
        <w:ind w:left="0" w:right="0" w:firstLine="709"/>
        <w:jc w:val="both"/>
        <w:rPr>
          <w:szCs w:val="24"/>
        </w:rPr>
      </w:pPr>
      <w:r>
        <w:rPr>
          <w:sz w:val="24"/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1041"/>
        <w:ind w:left="0" w:right="0" w:firstLine="709"/>
        <w:jc w:val="both"/>
        <w:rPr>
          <w:szCs w:val="24"/>
        </w:rPr>
      </w:pPr>
      <w:r>
        <w:rPr>
          <w:sz w:val="24"/>
          <w:szCs w:val="24"/>
        </w:rPr>
        <w:t xml:space="preserve">В случае выбора Поставщиком обеспечения исполнения обязательств по Договору в виде Независимой</w:t>
      </w:r>
      <w:r>
        <w:rPr>
          <w:sz w:val="24"/>
          <w:szCs w:val="24"/>
        </w:rPr>
        <w:t xml:space="preserve"> гарантии, Поставщик обязуется предоставить Покупателю </w:t>
      </w:r>
      <w:r>
        <w:rPr>
          <w:sz w:val="24"/>
          <w:szCs w:val="24"/>
        </w:rPr>
        <w:t xml:space="preserve">Независимую</w:t>
      </w:r>
      <w:r>
        <w:rPr>
          <w:sz w:val="24"/>
          <w:szCs w:val="24"/>
        </w:rPr>
        <w:t xml:space="preserve"> гарантию надлежащего исполнения обязательств по Договору в срок установленный Документацией о закупке, отвечающую требованиям, указанным в приложениях </w:t>
      </w:r>
      <w:r>
        <w:rPr>
          <w:sz w:val="24"/>
          <w:szCs w:val="24"/>
        </w:rPr>
        <w:t xml:space="preserve">№№ 3, 4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настоящему Договору, на сумму </w:t>
      </w:r>
      <w:r>
        <w:rPr>
          <w:rFonts w:ascii="Times New Roman" w:hAnsi="Times New Roman" w:cs="Times New Roman"/>
          <w:sz w:val="24"/>
          <w:szCs w:val="24"/>
        </w:rPr>
        <w:t xml:space="preserve">5% от цены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(НДС не облагается), по акту приема-передачи по форме приложения № 5</w:t>
      </w:r>
      <w:r>
        <w:rPr>
          <w:sz w:val="24"/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 срок не позднее 45</w:t>
      </w:r>
      <w:r>
        <w:rPr>
          <w:sz w:val="24"/>
          <w:szCs w:val="24"/>
          <w:highlight w:val="none"/>
        </w:rPr>
        <w:t xml:space="preserve"> (сорока пяти) </w:t>
      </w:r>
      <w:r>
        <w:rPr>
          <w:sz w:val="24"/>
          <w:szCs w:val="24"/>
          <w:highlight w:val="none"/>
        </w:rPr>
        <w:t xml:space="preserve">календарных</w:t>
      </w:r>
      <w:r>
        <w:rPr>
          <w:sz w:val="24"/>
          <w:szCs w:val="24"/>
          <w:highlight w:val="none"/>
        </w:rPr>
        <w:t xml:space="preserve"> дн</w:t>
      </w:r>
      <w:r>
        <w:rPr>
          <w:sz w:val="24"/>
          <w:szCs w:val="24"/>
          <w:highlight w:val="none"/>
        </w:rPr>
        <w:t xml:space="preserve">ей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3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3.1.4.1.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3.1.4.2.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</w:t>
      </w:r>
      <w:r>
        <w:rPr>
          <w:sz w:val="24"/>
          <w:szCs w:val="24"/>
          <w:highlight w:val="none"/>
        </w:rPr>
        <w:t xml:space="preserve"> 1</w:t>
      </w:r>
      <w:r>
        <w:rPr>
          <w:sz w:val="24"/>
          <w:szCs w:val="24"/>
          <w:highlight w:val="none"/>
        </w:rPr>
        <w:t xml:space="preserve">2.2 Д</w:t>
      </w:r>
      <w:r>
        <w:rPr>
          <w:sz w:val="24"/>
          <w:szCs w:val="24"/>
        </w:rPr>
        <w:t xml:space="preserve">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92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Поставка Товара производится поставщиком на склады грузополучателей. Место поставки по грузополучателям: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Хабаровские тепловые сети. 680023, г. Хабаровск, ул. Флегонтова, 13А. ИНН/КПП1434031363/ 272145005;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Нерюнгринская ГРЭС. 678955, респ.САХА (Якутия), г.Нерюнгри, пгт Серебряный Бор. ИНН/ КПП 1434031363/ 143445001;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Благовещенская ТЭЦ. 675007, г.Благовещенск, ул. Загородная, 177, ИНН/ КПП 1434031363/ 280145003;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Райчихинская ГРЭС. 676791, Амурская обл., пгт.Прогресс, ул.Бурейская,1. ИНН/ КПП 1434031363/ 280632001;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Артемовская ТЭЦ. 692775, Россия, Приморский край, г. Артем, ул. Каширская, 23. ИНН/ КПП 1434031363/ 250232001;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Владивостокская ТЭЦ-2.  690034, г.Владивосток, ул.Фадеева, 47,           ИНН/ КПП 1434031363/ 253645003;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Партизанская ГРЭС. 692860, Россия, Приморский край, г. Партизанск, ул. Свердлова, 2. ИНН/ КПП 1434031363/ 250932001;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Приморские тепловые сети. 690091, Россия, Приморский край, г. Владивосток, ул. Западная, 29. ИНН/ КПП 1434031363/ 253645001;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ТЭЦ "Восточная". 690074, Россия, Приморский край, город Владивосток, улица Снеговая, 22. ИНН/ КПП 1434031363/ 254345001;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Амурская ТЭЦ-1.  682640, Россия, Хабаровский край, г.Амурск, ул. Западное шоссе, д.10. ИНН/ КПП  1434031363/ 270632001;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Биробиджанская ТЭЦ. 679016, Россия, Еврейская автономная область, г. Биробиджан, ул. Шолом-Алейхема, 60. ИНН/ КПП 1434031363/ 790145002;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Комсомольская ТЭЦ-2.  681000, Россия, Хабаровский край, г. Комсомольск-на-Амуре, ул. Аллея Труда, 1, корп. 3. ИНН/КПП 1434031363/270345001;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Комсомольская ТЭЦ-3. 681034, Россия, г. Комсомольск-на-Амуре, Хабаровский край, Северное шоссе,151. ИНН/КПП 1434031363/270332003;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Хабаровская ТЭЦ-1. 680015, Россия, Хабаровский край, г. Хабаровск, ул. Узловая, 15-а. ИНН/КПП 1434031363/272145001;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Хабаровская ТЭЦ-2. 680026, г. Хабаровск, пер. Сормовский, 1. ИНН/КПП 1434031363/272232001;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Хабаровская ТЭЦ-3. 680025, г. Хабаровск, шоссе Федоровское, 10. ИНН/КПП1434031363/272145002;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0"/>
          <w:numId w:val="41"/>
        </w:numPr>
        <w:jc w:val="both"/>
        <w:spacing w:line="276" w:lineRule="auto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ТЭЦ в г. Советская Гавань. 682817, Россия, Хабаровский край, г. Советская Гавань, ул. Кишиневская, 2. ИНН/КПП 1434031363/270945003;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numPr>
          <w:ilvl w:val="0"/>
          <w:numId w:val="41"/>
        </w:numPr>
        <w:jc w:val="both"/>
        <w:spacing w:line="276" w:lineRule="auto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АО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ДГК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СП Николаевская ТЭЦ. 682469, Хабаровский край, г. Николаевск-на-Амуре, ул. Невельского, 24. ИНН/ КПП  1434031363/ 27053200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numPr>
          <w:ilvl w:val="0"/>
          <w:numId w:val="41"/>
        </w:numPr>
        <w:jc w:val="both"/>
        <w:spacing w:line="276" w:lineRule="auto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АО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ДГК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СП Амурские тепловые сети. Амурская обл., г. Благовещенск, ул. Нагорная, д. 19. ИНН/ КПП 1434031363/ 280145002. Адрес доставки: Амурская область, г. Благовещенск, Загородная, 177, склад Амурских тепловых сетей.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третьих лиц.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передачей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 </w:t>
      </w:r>
      <w:r>
        <w:rPr>
          <w:bCs/>
          <w:sz w:val="24"/>
          <w:szCs w:val="24"/>
        </w:rPr>
        <w:t xml:space="preserve">обязан передать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оригиналы следующих относящихся к </w:t>
      </w:r>
      <w:r>
        <w:rPr>
          <w:bCs/>
          <w:sz w:val="24"/>
          <w:szCs w:val="24"/>
        </w:rPr>
        <w:t xml:space="preserve">Товару</w:t>
      </w:r>
      <w:r>
        <w:rPr>
          <w:bCs/>
          <w:sz w:val="24"/>
          <w:szCs w:val="24"/>
        </w:rPr>
        <w:t xml:space="preserve"> документов: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сертификат качества в __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технический паспорт на русском языке в __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инструкция по эксплуатации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на русском языке в __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упаковочный лист в __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none"/>
        </w:rPr>
        <w:t xml:space="preserve">Товара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9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  <w:highlight w:val="none"/>
        </w:rPr>
        <w:t xml:space="preserve">УПД, при наличии</w:t>
      </w:r>
      <w:r>
        <w:rPr>
          <w:sz w:val="24"/>
          <w:szCs w:val="24"/>
          <w:highlight w:val="none"/>
        </w:rPr>
        <w:t xml:space="preserve"> Акта входного контроля</w:t>
      </w:r>
      <w:r>
        <w:rPr>
          <w:sz w:val="24"/>
          <w:szCs w:val="24"/>
          <w:highlight w:val="none"/>
        </w:rPr>
        <w:t xml:space="preserve">.</w:t>
      </w:r>
      <w:bookmarkEnd w:id="2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</w:t>
      </w:r>
      <w:r>
        <w:rPr>
          <w:sz w:val="24"/>
          <w:szCs w:val="24"/>
        </w:rPr>
        <w:t xml:space="preserve">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обязателен.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lightGray"/>
        </w:rPr>
      </w:pPr>
      <w:r>
        <w:rPr>
          <w:b/>
          <w:sz w:val="24"/>
          <w:szCs w:val="24"/>
          <w:highlight w:val="none"/>
        </w:rPr>
        <w:t xml:space="preserve">Гарантийный срок</w:t>
      </w:r>
      <w:r>
        <w:rPr>
          <w:b/>
          <w:sz w:val="24"/>
          <w:szCs w:val="24"/>
          <w:highlight w:val="lightGray"/>
        </w:rPr>
      </w:r>
      <w:r>
        <w:rPr>
          <w:b/>
          <w:sz w:val="24"/>
          <w:szCs w:val="24"/>
          <w:highlight w:val="lightGray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арантийный срок</w:t>
      </w:r>
      <w:r>
        <w:rPr>
          <w:sz w:val="24"/>
          <w:szCs w:val="24"/>
        </w:rPr>
        <w:t xml:space="preserve"> на Товар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поставленный по Договору, устанавливается изготовителем и составляет не менее 12 (двенадцати)</w:t>
      </w:r>
      <w:r>
        <w:rPr>
          <w:sz w:val="24"/>
          <w:szCs w:val="24"/>
        </w:rPr>
        <w:t xml:space="preserve"> месяцев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подписания Сторонами </w:t>
      </w:r>
      <w:r>
        <w:rPr>
          <w:sz w:val="24"/>
          <w:szCs w:val="24"/>
        </w:rPr>
        <w:t xml:space="preserve">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Гарантийный срок может быть продлен в соответствии с условиями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ind w:left="0" w:firstLine="709"/>
        <w:jc w:val="both"/>
        <w:tabs>
          <w:tab w:val="left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1"/>
        <w:numPr>
          <w:ilvl w:val="1"/>
          <w:numId w:val="1"/>
        </w:numPr>
        <w:ind w:left="0" w:right="0" w:firstLine="709"/>
        <w:jc w:val="both"/>
        <w:rPr>
          <w:rFonts w:eastAsia="Calibri"/>
          <w:b/>
          <w:bCs/>
          <w:sz w:val="28"/>
          <w:szCs w:val="28"/>
          <w:u w:val="single"/>
        </w:rPr>
      </w:pP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в Заявке, Покупатель вправе требовать уплат</w:t>
      </w:r>
      <w:r>
        <w:rPr>
          <w:sz w:val="24"/>
          <w:szCs w:val="24"/>
        </w:rPr>
        <w:t xml:space="preserve">ы Поставщико</w:t>
      </w:r>
      <w:r>
        <w:rPr>
          <w:sz w:val="24"/>
          <w:szCs w:val="24"/>
          <w:u w:val="none"/>
        </w:rPr>
        <w:t xml:space="preserve">м</w:t>
      </w:r>
      <w:r>
        <w:rPr>
          <w:rFonts w:eastAsia="Calibri"/>
          <w:b/>
          <w:bCs/>
          <w:sz w:val="24"/>
          <w:szCs w:val="24"/>
          <w:u w:val="none"/>
        </w:rPr>
        <w:t xml:space="preserve">:</w:t>
      </w:r>
      <w:r>
        <w:rPr>
          <w:rFonts w:eastAsia="Calibri"/>
          <w:b/>
          <w:bCs/>
          <w:sz w:val="28"/>
          <w:szCs w:val="28"/>
          <w:u w:val="single"/>
        </w:rPr>
      </w:r>
      <w:r>
        <w:rPr>
          <w:rFonts w:eastAsia="Calibri"/>
          <w:b/>
          <w:bCs/>
          <w:sz w:val="28"/>
          <w:szCs w:val="28"/>
          <w:u w:val="single"/>
        </w:rPr>
      </w:r>
    </w:p>
    <w:p>
      <w:pPr>
        <w:pStyle w:val="1065"/>
        <w:numPr>
          <w:ilvl w:val="0"/>
          <w:numId w:val="72"/>
        </w:numPr>
        <w:ind w:left="0" w:right="0" w:firstLine="850"/>
        <w:jc w:val="both"/>
        <w:tabs>
          <w:tab w:val="left" w:pos="1134" w:leader="none"/>
        </w:tabs>
      </w:pPr>
      <w:r>
        <w:rPr>
          <w:rFonts w:eastAsia="Calibri"/>
          <w:b w:val="0"/>
          <w:bCs w:val="0"/>
          <w:sz w:val="24"/>
          <w:szCs w:val="24"/>
          <w:u w:val="none"/>
        </w:rPr>
        <w:t xml:space="preserve">неустойки в размере 0,1 (ноль целых и одна десятая) процента от цены несвоевременно поставленной (не поставленной) партии товара за каждый день просрочки – в случае, когда нарушение не привело к изменению срока поставки других партий товара;</w:t>
      </w:r>
      <w:r/>
    </w:p>
    <w:p>
      <w:pPr>
        <w:pStyle w:val="1065"/>
        <w:numPr>
          <w:ilvl w:val="0"/>
          <w:numId w:val="72"/>
        </w:numPr>
        <w:ind w:left="0" w:firstLine="850"/>
        <w:jc w:val="both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u w:val="none"/>
        </w:rPr>
        <w:t xml:space="preserve">неустойки в размере 0,2 (ноль целых и две десятых) процента от цены несвоевременно поставленной (не поставленной) партии товара за каждый день просрочки</w:t>
      </w:r>
      <w:r>
        <w:rPr>
          <w:rFonts w:eastAsia="Calibri"/>
          <w:b w:val="0"/>
          <w:bCs w:val="0"/>
          <w:sz w:val="24"/>
          <w:szCs w:val="24"/>
          <w:u w:val="none"/>
        </w:rPr>
        <w:t xml:space="preserve"> – в случае, когда нарушение </w:t>
      </w:r>
      <w:r>
        <w:rPr>
          <w:rFonts w:eastAsia="Calibri"/>
          <w:b w:val="0"/>
          <w:bCs w:val="0"/>
          <w:sz w:val="24"/>
          <w:szCs w:val="24"/>
          <w:u w:val="none"/>
        </w:rPr>
        <w:t xml:space="preserve">привело к изменению срока поставки других партий товара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штраф в разме</w:t>
      </w:r>
      <w:r>
        <w:rPr>
          <w:bCs/>
          <w:sz w:val="24"/>
          <w:szCs w:val="24"/>
        </w:rPr>
        <w:t xml:space="preserve">ре 10% от стоимости поставленного Товара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Если в результате составления и выставления Поставщиком </w:t>
      </w:r>
      <w:r>
        <w:rPr>
          <w:bCs/>
          <w:sz w:val="24"/>
          <w:szCs w:val="24"/>
          <w:highlight w:val="none"/>
        </w:rPr>
        <w:t xml:space="preserve">УПД</w:t>
      </w:r>
      <w:r>
        <w:rPr>
          <w:bCs/>
          <w:sz w:val="24"/>
          <w:szCs w:val="24"/>
          <w:highlight w:val="non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non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none"/>
        </w:rPr>
        <w:br/>
      </w:r>
      <w:r>
        <w:rPr>
          <w:bCs/>
          <w:sz w:val="24"/>
          <w:szCs w:val="24"/>
          <w:highlight w:val="none"/>
        </w:rPr>
        <w:t xml:space="preserve">для ко</w:t>
      </w:r>
      <w:r>
        <w:rPr>
          <w:bCs/>
          <w:sz w:val="24"/>
          <w:szCs w:val="24"/>
          <w:highlight w:val="non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65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нарушения Поставщиком сроков предоставления </w:t>
      </w:r>
      <w:r>
        <w:rPr>
          <w:bCs/>
          <w:sz w:val="24"/>
          <w:szCs w:val="24"/>
          <w:highlight w:val="none"/>
        </w:rPr>
        <w:t xml:space="preserve">УПД</w:t>
      </w:r>
      <w:r>
        <w:rPr>
          <w:bCs/>
          <w:sz w:val="24"/>
          <w:szCs w:val="24"/>
          <w:highlight w:val="none"/>
        </w:rPr>
        <w:t xml:space="preserve">, установленных п</w:t>
      </w:r>
      <w:r>
        <w:rPr>
          <w:bCs/>
          <w:sz w:val="24"/>
          <w:szCs w:val="24"/>
          <w:highlight w:val="none"/>
        </w:rPr>
        <w:t xml:space="preserve">унктом </w:t>
      </w:r>
      <w:r>
        <w:rPr>
          <w:bCs/>
          <w:sz w:val="24"/>
          <w:szCs w:val="24"/>
          <w:highlight w:val="none"/>
        </w:rPr>
        <w:t xml:space="preserve">2</w:t>
      </w:r>
      <w:r>
        <w:rPr>
          <w:bCs/>
          <w:sz w:val="24"/>
          <w:szCs w:val="24"/>
          <w:highlight w:val="none"/>
        </w:rPr>
        <w:t xml:space="preserve">.</w:t>
      </w:r>
      <w:r>
        <w:rPr>
          <w:bCs/>
          <w:sz w:val="24"/>
          <w:szCs w:val="24"/>
          <w:highlight w:val="none"/>
        </w:rPr>
        <w:t xml:space="preserve">8 </w:t>
      </w:r>
      <w:r>
        <w:rPr>
          <w:bCs/>
          <w:sz w:val="24"/>
          <w:szCs w:val="24"/>
          <w:highlight w:val="non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bCs/>
          <w:sz w:val="24"/>
          <w:szCs w:val="24"/>
          <w:highlight w:val="lightGray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За непредставление либо несвоевременное переоформление Поставщиком Независимой гарантии, предусмотренных Договором, Покупатель вправе потребовать уплаты Поставщиком</w:t>
      </w:r>
      <w:r>
        <w:rPr>
          <w:bCs/>
          <w:sz w:val="24"/>
          <w:szCs w:val="24"/>
          <w:highlight w:val="none"/>
        </w:rPr>
        <w:t xml:space="preserve"> неустойки в размере 0,03 (ноль целых и три сотых) процента от цены Договора за каждый день просрочки.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продукцию, ранее принятую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85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она является юридическим л</w:t>
      </w:r>
      <w:r>
        <w:rPr>
          <w:sz w:val="24"/>
          <w:szCs w:val="24"/>
          <w:highlight w:val="none"/>
        </w:rPr>
        <w:t xml:space="preserve">ицом/ </w:t>
      </w:r>
      <w:r>
        <w:rPr>
          <w:sz w:val="24"/>
          <w:szCs w:val="24"/>
          <w:highlight w:val="none"/>
        </w:rPr>
        <w:t xml:space="preserve">индивидуальным предпринимателем</w:t>
      </w:r>
      <w:r>
        <w:rPr>
          <w:sz w:val="24"/>
          <w:szCs w:val="24"/>
          <w:highlight w:val="none"/>
        </w:rPr>
        <w:t xml:space="preserve">, надлежащим образом учрежденным </w:t>
      </w:r>
      <w:r>
        <w:rPr>
          <w:sz w:val="24"/>
          <w:szCs w:val="24"/>
          <w:highlight w:val="none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  <w:highlight w:val="none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  <w:highlight w:val="none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  <w:highlight w:val="none"/>
        </w:rPr>
        <w:br/>
        <w:t xml:space="preserve">и иных лиц</w:t>
      </w:r>
      <w:r>
        <w:rPr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необходимые для заключения и исполнения Договора;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  <w:highlight w:val="none"/>
        </w:rPr>
        <w:br/>
        <w:t xml:space="preserve">или в связи с ним.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Поставщик </w:t>
      </w:r>
      <w:r>
        <w:rPr>
          <w:sz w:val="24"/>
          <w:szCs w:val="24"/>
          <w:highlight w:val="none"/>
        </w:rPr>
        <w:t xml:space="preserve">заявляет и заверяет </w:t>
      </w:r>
      <w:r>
        <w:rPr>
          <w:sz w:val="24"/>
          <w:szCs w:val="24"/>
          <w:highlight w:val="none"/>
        </w:rPr>
        <w:t xml:space="preserve">Покупател</w:t>
      </w:r>
      <w:r>
        <w:rPr>
          <w:sz w:val="24"/>
          <w:szCs w:val="24"/>
          <w:highlight w:val="none"/>
        </w:rPr>
        <w:t xml:space="preserve">я</w:t>
      </w:r>
      <w:r>
        <w:rPr>
          <w:sz w:val="24"/>
          <w:szCs w:val="24"/>
          <w:highlight w:val="none"/>
        </w:rPr>
        <w:t xml:space="preserve"> в том, что на момент заключения Договора: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учредителем</w:t>
      </w:r>
      <w:r>
        <w:rPr>
          <w:sz w:val="24"/>
          <w:szCs w:val="24"/>
          <w:highlight w:val="none"/>
        </w:rPr>
        <w:t xml:space="preserve">/ учредителями </w:t>
      </w:r>
      <w:r>
        <w:rPr>
          <w:sz w:val="24"/>
          <w:szCs w:val="24"/>
          <w:highlight w:val="none"/>
        </w:rPr>
        <w:t xml:space="preserve">Поставщика</w:t>
      </w:r>
      <w:r>
        <w:rPr>
          <w:sz w:val="24"/>
          <w:szCs w:val="24"/>
          <w:highlight w:val="none"/>
        </w:rPr>
        <w:t xml:space="preserve"> являются лица, не я</w:t>
      </w:r>
      <w:r>
        <w:rPr>
          <w:sz w:val="24"/>
          <w:szCs w:val="24"/>
          <w:highlight w:val="none"/>
        </w:rPr>
        <w:t xml:space="preserve">вляющиеся массовыми учредителем</w:t>
      </w:r>
      <w:r>
        <w:rPr>
          <w:sz w:val="24"/>
          <w:szCs w:val="24"/>
          <w:highlight w:val="none"/>
        </w:rPr>
        <w:t xml:space="preserve">/ учредителями;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руководителем </w:t>
      </w:r>
      <w:r>
        <w:rPr>
          <w:sz w:val="24"/>
          <w:szCs w:val="24"/>
          <w:highlight w:val="none"/>
        </w:rPr>
        <w:t xml:space="preserve">Поставщика</w:t>
      </w:r>
      <w:r>
        <w:rPr>
          <w:sz w:val="24"/>
          <w:szCs w:val="24"/>
          <w:highlight w:val="non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Поставщик </w:t>
      </w:r>
      <w:r>
        <w:rPr>
          <w:sz w:val="24"/>
          <w:szCs w:val="24"/>
          <w:highlight w:val="non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уплачивает налоги и сборы </w:t>
      </w:r>
      <w:r>
        <w:rPr>
          <w:sz w:val="24"/>
          <w:szCs w:val="24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находится в процедуре несостоятельности (банкротства) </w:t>
      </w:r>
      <w:r>
        <w:rPr>
          <w:sz w:val="24"/>
          <w:szCs w:val="24"/>
        </w:rPr>
        <w:br/>
        <w:t xml:space="preserve">в соответстви</w:t>
      </w:r>
      <w:r>
        <w:rPr>
          <w:sz w:val="24"/>
          <w:szCs w:val="24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</w:rPr>
        <w:t xml:space="preserve">. </w:t>
      </w:r>
      <w:r/>
    </w:p>
    <w:p>
      <w:pPr>
        <w:pStyle w:val="1065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  <w:r/>
    </w:p>
    <w:p>
      <w:pPr>
        <w:pStyle w:val="1089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highlight w:val="none"/>
        </w:rPr>
        <w:t xml:space="preserve"> (партий Товара)</w:t>
      </w:r>
      <w:r>
        <w:rPr>
          <w:highlight w:val="none"/>
        </w:rPr>
        <w:t xml:space="preserve">, установленных </w:t>
      </w:r>
      <w:r>
        <w:rPr>
          <w:highlight w:val="none"/>
        </w:rPr>
        <w:t xml:space="preserve">Заявками Покупателя</w:t>
      </w:r>
      <w:r>
        <w:rPr>
          <w:highlight w:val="none"/>
        </w:rPr>
        <w:t xml:space="preserve">, более чем на </w:t>
      </w:r>
      <w:r>
        <w:rPr>
          <w:highlight w:val="none"/>
        </w:rPr>
        <w:t xml:space="preserve">60</w:t>
      </w:r>
      <w:r>
        <w:rPr>
          <w:highlight w:val="none"/>
        </w:rPr>
        <w:t xml:space="preserve"> (шестьдесят</w:t>
      </w:r>
      <w:r>
        <w:rPr>
          <w:highlight w:val="none"/>
        </w:rPr>
        <w:t xml:space="preserve">) календарных дней по причинам, не зависящим от Покупателя; </w:t>
      </w:r>
      <w:r>
        <w:rPr>
          <w:highlight w:val="none"/>
        </w:rPr>
      </w:r>
      <w:r>
        <w:rPr>
          <w:highlight w:val="none"/>
        </w:rPr>
      </w:r>
    </w:p>
    <w:p>
      <w:pPr>
        <w:pStyle w:val="1089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t xml:space="preserve">60 (шестьдесят</w:t>
      </w:r>
      <w:r>
        <w:t xml:space="preserve">) календарных дней</w:t>
      </w:r>
      <w:r>
        <w:t xml:space="preserve">,</w:t>
      </w:r>
      <w:r>
        <w:t xml:space="preserve"> либо такие недостатки (дефекты) являются неустранимыми;</w:t>
      </w:r>
      <w:r>
        <w:t xml:space="preserve"> </w:t>
      </w:r>
      <w:r/>
    </w:p>
    <w:p>
      <w:pPr>
        <w:pStyle w:val="1089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t xml:space="preserve">наложение ареста на имущество Поставщика, введение арбитражным судом про</w:t>
      </w:r>
      <w:r>
        <w:rPr>
          <w:highlight w:val="none"/>
        </w:rPr>
        <w:t xml:space="preserve">цедуры несостоятельности (банкротства) в отношении Поставщика; </w:t>
      </w:r>
      <w:r>
        <w:rPr>
          <w:highlight w:val="none"/>
        </w:rPr>
      </w:r>
      <w:r>
        <w:rPr>
          <w:highlight w:val="none"/>
        </w:rPr>
      </w:r>
    </w:p>
    <w:p>
      <w:pPr>
        <w:pStyle w:val="1089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non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none"/>
        </w:rPr>
        <w:t xml:space="preserve">0</w:t>
      </w:r>
      <w:r>
        <w:rPr>
          <w:highlight w:val="none"/>
        </w:rPr>
        <w:t xml:space="preserve"> Договора, и имеющих существенное значение для его заключения и исполнения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8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В случае отказа Покупателя от Договора в случаях, предусмотренных пунктами 1</w:t>
      </w:r>
      <w:r>
        <w:t xml:space="preserve">1</w:t>
      </w:r>
      <w:r>
        <w:t xml:space="preserve">.</w:t>
      </w:r>
      <w:r>
        <w:t xml:space="preserve">2</w:t>
      </w:r>
      <w:r>
        <w:t xml:space="preserve">, 1</w:t>
      </w:r>
      <w:r>
        <w:t xml:space="preserve">1</w:t>
      </w:r>
      <w:r>
        <w:t xml:space="preserve">.</w:t>
      </w:r>
      <w:r>
        <w:t xml:space="preserve">3</w:t>
      </w:r>
      <w: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/>
    </w:p>
    <w:p>
      <w:pPr>
        <w:pStyle w:val="108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89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65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31.01.2027,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/>
      <w:bookmarkStart w:id="39" w:name="_Ref361338019"/>
      <w:r>
        <w:rPr>
          <w:sz w:val="24"/>
          <w:szCs w:val="24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</w:rPr>
        <w:t xml:space="preserve">следующими способами: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Заказным почтовым отправлением с уведомлением о вручении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none"/>
        </w:rPr>
        <w:t xml:space="preserve">нахождения</w:t>
      </w:r>
      <w:r>
        <w:rPr>
          <w:sz w:val="24"/>
          <w:szCs w:val="24"/>
          <w:highlight w:val="none"/>
        </w:rPr>
        <w:t xml:space="preserve">/ почтовому адресу</w:t>
      </w:r>
      <w:r>
        <w:rPr>
          <w:sz w:val="24"/>
          <w:szCs w:val="24"/>
          <w:highlight w:val="none"/>
        </w:rPr>
        <w:t xml:space="preserve">, указанному в разделе 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–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none"/>
        </w:rPr>
      </w:pPr>
      <w:r>
        <w:rPr>
          <w:highlight w:val="none"/>
        </w:rPr>
      </w:r>
      <w:bookmarkStart w:id="40" w:name="_Ref361338032"/>
      <w:r>
        <w:rPr>
          <w:highlight w:val="none"/>
        </w:rPr>
      </w:r>
      <w:bookmarkEnd w:id="39"/>
      <w:r>
        <w:rPr>
          <w:bCs/>
          <w:sz w:val="24"/>
          <w:szCs w:val="24"/>
          <w:highlight w:val="non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по адресу ее места </w:t>
      </w:r>
      <w:r>
        <w:rPr>
          <w:sz w:val="24"/>
          <w:szCs w:val="24"/>
          <w:highlight w:val="none"/>
        </w:rPr>
        <w:t xml:space="preserve">нахождения/ почтовому адресу</w:t>
      </w:r>
      <w:r>
        <w:rPr>
          <w:sz w:val="24"/>
          <w:szCs w:val="24"/>
          <w:highlight w:val="none"/>
        </w:rPr>
        <w:t xml:space="preserve">, указанному в разделе 1</w:t>
      </w: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none"/>
        </w:rPr>
        <w:t xml:space="preserve"> –</w:t>
      </w:r>
      <w:r>
        <w:rPr>
          <w:bCs/>
          <w:sz w:val="24"/>
          <w:szCs w:val="24"/>
          <w:highlight w:val="non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none"/>
        </w:rPr>
        <w:t xml:space="preserve">;</w:t>
      </w:r>
      <w:bookmarkEnd w:id="40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5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П</w:t>
      </w:r>
      <w:r>
        <w:rPr>
          <w:bCs/>
          <w:sz w:val="24"/>
          <w:szCs w:val="24"/>
          <w:highlight w:val="none"/>
        </w:rPr>
        <w:t xml:space="preserve">осредством электро</w:t>
      </w:r>
      <w:r>
        <w:rPr>
          <w:bCs/>
          <w:sz w:val="24"/>
          <w:szCs w:val="24"/>
        </w:rPr>
        <w:t xml:space="preserve">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</w:t>
      </w:r>
      <w:r>
        <w:rPr>
          <w:bCs/>
          <w:sz w:val="24"/>
          <w:szCs w:val="24"/>
        </w:rPr>
        <w:t xml:space="preserve">е посредством электронной почты</w:t>
      </w:r>
      <w:r>
        <w:rPr>
          <w:bCs/>
          <w:sz w:val="24"/>
          <w:szCs w:val="24"/>
        </w:rPr>
        <w:t xml:space="preserve">, должны не </w:t>
      </w:r>
      <w:r>
        <w:rPr>
          <w:bCs/>
          <w:sz w:val="24"/>
          <w:szCs w:val="24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</w:rPr>
        <w:t xml:space="preserve">унктах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.7.1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.7.2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применении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white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numPr>
          <w:ilvl w:val="1"/>
          <w:numId w:val="1"/>
        </w:numPr>
        <w:ind w:left="0" w:right="0"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  <w:t xml:space="preserve">     </w:t>
      </w:r>
      <w:r>
        <w:rPr>
          <w:b/>
          <w:bCs/>
          <w:sz w:val="24"/>
          <w:szCs w:val="24"/>
        </w:rPr>
        <w:t xml:space="preserve">Список приложений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Заявка</w:t>
      </w:r>
      <w:r>
        <w:rPr>
          <w:rFonts w:eastAsia="Calibri"/>
          <w:sz w:val="24"/>
          <w:szCs w:val="24"/>
          <w:lang w:eastAsia="en-US"/>
        </w:rPr>
        <w:t xml:space="preserve"> на поставку Товара (форма)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3.</w:t>
      </w:r>
      <w:r>
        <w:rPr>
          <w:sz w:val="24"/>
          <w:szCs w:val="24"/>
          <w:highlight w:val="none"/>
        </w:rPr>
        <w:t xml:space="preserve"> Условия независимой гарантии</w:t>
      </w:r>
      <w:r>
        <w:rPr>
          <w:sz w:val="24"/>
          <w:szCs w:val="24"/>
          <w:highlight w:val="none"/>
        </w:rPr>
        <w:t xml:space="preserve"> исполнения обязательств по договору 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4. </w:t>
      </w:r>
      <w:r>
        <w:rPr>
          <w:sz w:val="24"/>
          <w:szCs w:val="24"/>
          <w:highlight w:val="none"/>
        </w:rPr>
        <w:t xml:space="preserve">Форма независимой гарантии;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843" w:right="0" w:hanging="1843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</w:pPr>
      <w:r>
        <w:rPr>
          <w:sz w:val="24"/>
          <w:szCs w:val="24"/>
          <w:highlight w:val="none"/>
        </w:rPr>
        <w:t xml:space="preserve">Приложение № 5. </w:t>
      </w:r>
      <w:r>
        <w:rPr>
          <w:sz w:val="24"/>
          <w:szCs w:val="24"/>
          <w:highlight w:val="none"/>
        </w:rPr>
        <w:t xml:space="preserve">Акт приема передачи передачи независимой гарантии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(форма)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5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Адреса и платежные реквизиты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none"/>
              </w:rPr>
              <w:t xml:space="preserve">: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none"/>
              </w:rPr>
              <w:t xml:space="preserve">: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АО «</w:t>
            </w:r>
            <w:r>
              <w:rPr>
                <w:b/>
                <w:sz w:val="24"/>
                <w:szCs w:val="24"/>
                <w:highlight w:val="none"/>
              </w:rPr>
              <w:t xml:space="preserve">ДГК»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none"/>
              </w:rPr>
              <w:t xml:space="preserve">, г. </w:t>
            </w:r>
            <w:r>
              <w:rPr>
                <w:sz w:val="24"/>
                <w:szCs w:val="24"/>
                <w:highlight w:val="none"/>
              </w:rPr>
              <w:t xml:space="preserve">Хабаровск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 6</w:t>
            </w:r>
            <w:r>
              <w:rPr>
                <w:sz w:val="24"/>
                <w:szCs w:val="24"/>
                <w:highlight w:val="none"/>
              </w:rPr>
              <w:t xml:space="preserve">8</w:t>
            </w:r>
            <w:r>
              <w:rPr>
                <w:sz w:val="24"/>
                <w:szCs w:val="24"/>
                <w:highlight w:val="none"/>
              </w:rPr>
              <w:t xml:space="preserve">00</w:t>
            </w:r>
            <w:r>
              <w:rPr>
                <w:sz w:val="24"/>
                <w:szCs w:val="24"/>
                <w:highlight w:val="none"/>
              </w:rPr>
              <w:t xml:space="preserve">00</w:t>
            </w:r>
            <w:r>
              <w:rPr>
                <w:sz w:val="24"/>
                <w:szCs w:val="24"/>
                <w:highlight w:val="none"/>
              </w:rPr>
              <w:t xml:space="preserve">, </w:t>
            </w:r>
            <w:r>
              <w:rPr>
                <w:sz w:val="24"/>
                <w:szCs w:val="24"/>
                <w:highlight w:val="none"/>
              </w:rPr>
              <w:t xml:space="preserve">Хабаров</w:t>
            </w:r>
            <w:r>
              <w:rPr>
                <w:sz w:val="24"/>
                <w:szCs w:val="24"/>
                <w:highlight w:val="none"/>
              </w:rPr>
              <w:t xml:space="preserve">ский край,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 </w:t>
            </w:r>
            <w:r>
              <w:rPr>
                <w:sz w:val="24"/>
                <w:szCs w:val="24"/>
                <w:highlight w:val="none"/>
              </w:rPr>
              <w:t xml:space="preserve">Хабаровск</w:t>
            </w:r>
            <w:r>
              <w:rPr>
                <w:sz w:val="24"/>
                <w:szCs w:val="24"/>
                <w:highlight w:val="none"/>
              </w:rPr>
              <w:t xml:space="preserve">, ул. </w:t>
            </w:r>
            <w:r>
              <w:rPr>
                <w:sz w:val="24"/>
                <w:szCs w:val="24"/>
                <w:highlight w:val="none"/>
              </w:rPr>
              <w:t xml:space="preserve">Фрунзе</w:t>
            </w:r>
            <w:r>
              <w:rPr>
                <w:sz w:val="24"/>
                <w:szCs w:val="24"/>
                <w:highlight w:val="none"/>
              </w:rPr>
              <w:t xml:space="preserve">, </w:t>
            </w:r>
            <w:r>
              <w:rPr>
                <w:sz w:val="24"/>
                <w:szCs w:val="24"/>
                <w:highlight w:val="none"/>
              </w:rPr>
              <w:t xml:space="preserve">д.49.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1051401746769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1434031363</w:t>
            </w:r>
            <w:r>
              <w:rPr>
                <w:sz w:val="24"/>
                <w:szCs w:val="24"/>
                <w:highlight w:val="none"/>
              </w:rPr>
              <w:t xml:space="preserve">/ КПП 272101001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расчетного счета)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(наименование банка, в котором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открыт счет)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корреспондентского счета банка)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телефона)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________________________________________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(адрес эл/почты)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</w:t>
            </w:r>
            <w:r>
              <w:rPr>
                <w:highlight w:val="none"/>
              </w:rPr>
              <w:t xml:space="preserve">сокращенное </w:t>
            </w:r>
            <w:r>
              <w:rPr>
                <w:highlight w:val="none"/>
              </w:rPr>
              <w:t xml:space="preserve">наименование юридического лица)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</w:t>
            </w:r>
            <w:r>
              <w:rPr>
                <w:sz w:val="24"/>
                <w:szCs w:val="24"/>
                <w:highlight w:val="none"/>
              </w:rPr>
              <w:t xml:space="preserve">дрес: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расчетного счета)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(наименование банка, в котором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открыт счет)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корреспондентского счета банка)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(БИК банка)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телефона)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________________________________________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(адрес эл/почты)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</w:t>
            </w:r>
            <w:r>
              <w:rPr>
                <w:sz w:val="24"/>
                <w:szCs w:val="24"/>
                <w:highlight w:val="none"/>
              </w:rPr>
              <w:t xml:space="preserve">______________ / _______________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1134" w:right="850" w:bottom="1134" w:left="1417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119"/>
        <w:gridCol w:w="1151"/>
        <w:gridCol w:w="994"/>
        <w:gridCol w:w="1276"/>
        <w:gridCol w:w="1558"/>
        <w:gridCol w:w="1417"/>
        <w:gridCol w:w="1567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п/п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Наименование Товара, </w:t>
            </w:r>
            <w:r>
              <w:rPr>
                <w:bCs/>
                <w:color w:val="000000"/>
                <w:sz w:val="24"/>
                <w:szCs w:val="24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 xml:space="preserve">Технические и функциональные характеристики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Страна происхождения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Единица измерения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без НДС, руб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с НДС, руб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2"/>
        <w:gridCol w:w="1135"/>
        <w:gridCol w:w="710"/>
        <w:gridCol w:w="1079"/>
        <w:gridCol w:w="1758"/>
        <w:gridCol w:w="1134"/>
        <w:gridCol w:w="1276"/>
        <w:gridCol w:w="1141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 по спецификации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Наименование Товара, </w:t>
            </w:r>
            <w:r>
              <w:rPr>
                <w:bCs/>
                <w:color w:val="000000"/>
                <w:sz w:val="24"/>
                <w:szCs w:val="24"/>
              </w:rPr>
              <w:t xml:space="preserve">артикул, тип, марка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Единица измерения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Сумма без НДС,  руб.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Сумма, в том числе НДС, руб.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Грузополучатель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top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top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2.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761" w:type="dxa"/>
            <w:vAlign w:val="top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right"/>
        <w:widowControl w:val="off"/>
        <w:rPr>
          <w:rFonts w:eastAsia="Lucida Sans Unicode"/>
        </w:rPr>
      </w:pPr>
      <w:r>
        <w:rPr>
          <w:rFonts w:eastAsia="Lucida Sans Unicode"/>
          <w:bCs/>
          <w:sz w:val="24"/>
          <w:szCs w:val="24"/>
        </w:rPr>
        <w:t xml:space="preserve">Приложение № 3 </w:t>
      </w:r>
      <w:r>
        <w:rPr>
          <w:rFonts w:eastAsia="Lucida Sans Unicode"/>
        </w:rPr>
      </w:r>
      <w:r>
        <w:rPr>
          <w:rFonts w:eastAsia="Lucida Sans Unicode"/>
        </w:rPr>
      </w:r>
    </w:p>
    <w:p>
      <w:pPr>
        <w:ind w:firstLine="720"/>
        <w:jc w:val="right"/>
        <w:widowControl w:val="off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  <w:t xml:space="preserve">к договору № ________от __________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ind w:firstLine="720"/>
        <w:jc w:val="right"/>
        <w:widowControl w:val="off"/>
        <w:rPr>
          <w:rFonts w:eastAsia="Lucida Sans Unicode"/>
          <w:b/>
          <w:bCs/>
          <w:szCs w:val="24"/>
        </w:rPr>
      </w:pP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Cs w:val="24"/>
        </w:rPr>
      </w:r>
      <w:r>
        <w:rPr>
          <w:rFonts w:eastAsia="Lucida Sans Unicode"/>
          <w:b/>
          <w:bCs/>
          <w:szCs w:val="24"/>
        </w:rPr>
      </w:r>
    </w:p>
    <w:p>
      <w:pPr>
        <w:rPr>
          <w:szCs w:val="24"/>
        </w:rPr>
      </w:pPr>
      <w:r>
        <w:rPr>
          <w:sz w:val="24"/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97"/>
        <w:jc w:val="center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  <w:szCs w:val="24"/>
        </w:rPr>
        <w:t xml:space="preserve">Условия 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(-ых)</w:t>
      </w:r>
      <w:r>
        <w:rPr>
          <w:rFonts w:ascii="Times New Roman" w:hAnsi="Times New Roman"/>
          <w:b w:val="0"/>
          <w:sz w:val="24"/>
          <w:szCs w:val="24"/>
        </w:rPr>
        <w:t xml:space="preserve"> гарантии</w:t>
      </w:r>
      <w:r>
        <w:rPr>
          <w:rFonts w:ascii="Times New Roman" w:hAnsi="Times New Roman"/>
          <w:b w:val="0"/>
          <w:sz w:val="24"/>
          <w:szCs w:val="24"/>
        </w:rPr>
        <w:t xml:space="preserve">(-й)</w:t>
      </w:r>
      <w:r>
        <w:rPr>
          <w:rFonts w:ascii="Times New Roman" w:hAnsi="Times New Roman"/>
          <w:b w:val="0"/>
          <w:sz w:val="24"/>
          <w:szCs w:val="24"/>
        </w:rPr>
        <w:t xml:space="preserve">,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</w:rPr>
      </w:r>
    </w:p>
    <w:p>
      <w:pPr>
        <w:pStyle w:val="1041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редоставляемой</w:t>
      </w:r>
      <w:r>
        <w:rPr>
          <w:sz w:val="24"/>
          <w:szCs w:val="24"/>
        </w:rPr>
        <w:t xml:space="preserve">(-ых)</w:t>
      </w:r>
      <w:r>
        <w:rPr>
          <w:sz w:val="24"/>
          <w:szCs w:val="24"/>
        </w:rPr>
        <w:t xml:space="preserve"> в качестве обеспечения исполнения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оговора, заключаемого с МСП</w:t>
      </w:r>
      <w:r>
        <w:rPr>
          <w:sz w:val="24"/>
          <w:szCs w:val="24"/>
        </w:rPr>
        <w:t xml:space="preserve"> при осуществлении закупки товаров, работ, услуг в электронной форме с участием МСП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footnoteReference w:id="2"/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1"/>
        <w:jc w:val="center"/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Условия независимой гарантии, предоставляемой в качестве обеспечения исполнения договора, заключаемого с МСП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при осуществлении закупки товаров, работ, услуг в электронной форме с участием МСП</w:t>
      </w:r>
      <w:r>
        <w:rPr>
          <w:bCs/>
          <w:sz w:val="24"/>
          <w:szCs w:val="24"/>
        </w:rPr>
        <w:t xml:space="preserve"> (далее – Независимая гарантия):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не может быть отозвана выдавшим ее гарантом;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бенефициар по Независимой гарантии -– Общество, принципал – Контрагент;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сумма Независимой гарантии выражена в валюте расчетов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Договору;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сумма Не</w:t>
      </w:r>
      <w:r>
        <w:rPr>
          <w:bCs/>
          <w:sz w:val="24"/>
          <w:szCs w:val="24"/>
        </w:rPr>
        <w:t xml:space="preserve">зависимой гарантии надлежащего исполнения обязательств по Договору должна составлять не менее 5 (пять) процентов от цены Договора / объекта (если Договором не предусмотрена выплата аванса) или в размере аванса (если Договором предусмотрена выплата аванса);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сумма Независимой гарантии на гарантийный период – не менее </w:t>
        <w:br/>
        <w:t xml:space="preserve">5 (пяти) процентов от цены Договора / объекта;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срок окончания Независимой гарантии надлежащего исполнения обязательств по Договору -– не ранее 70 (семидесяти) кале</w:t>
      </w:r>
      <w:r>
        <w:rPr>
          <w:bCs/>
          <w:sz w:val="24"/>
          <w:szCs w:val="24"/>
        </w:rPr>
        <w:t xml:space="preserve">ндарных дней после наступления даты, в которую заканчивается срок исполнения обязательств по Договору в целом / соответствующему объекту, предусмотренной Договором, или не ранее 70 (семидесяти) календарных дней с даты окончания гарантийного срока на объект</w:t>
      </w:r>
      <w:r>
        <w:rPr>
          <w:rStyle w:val="1096"/>
          <w:bCs/>
          <w:sz w:val="24"/>
          <w:szCs w:val="24"/>
        </w:rPr>
        <w:footnoteReference w:id="3"/>
      </w:r>
      <w:r>
        <w:rPr>
          <w:bCs/>
          <w:sz w:val="24"/>
          <w:szCs w:val="24"/>
        </w:rPr>
        <w:t xml:space="preserve">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срок окончания Независимой гарантии на гарантийный период –- не ранее 70 (семидесяти) календарных дней с даты окончания установленного Договором гарантийного срока на соответствующий объект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должна быть составлена по типовой форме согласно приложению </w:t>
      </w:r>
      <w:r>
        <w:rPr>
          <w:bCs/>
          <w:sz w:val="24"/>
          <w:szCs w:val="24"/>
        </w:rPr>
        <w:t xml:space="preserve">3 </w:t>
      </w:r>
      <w:r>
        <w:rPr>
          <w:bCs/>
          <w:sz w:val="24"/>
          <w:szCs w:val="24"/>
        </w:rPr>
        <w:t xml:space="preserve">(приложение 3.2 к Методике ТФУ) </w:t>
      </w:r>
      <w:r>
        <w:rPr>
          <w:bCs/>
          <w:sz w:val="24"/>
          <w:szCs w:val="24"/>
        </w:rPr>
        <w:t xml:space="preserve">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</w:t>
      </w:r>
      <w:r>
        <w:rPr>
          <w:bCs/>
          <w:sz w:val="24"/>
          <w:szCs w:val="24"/>
        </w:rPr>
        <w:t xml:space="preserve">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</w:t>
      </w:r>
      <w:r>
        <w:rPr>
          <w:bCs/>
          <w:sz w:val="24"/>
          <w:szCs w:val="24"/>
        </w:rPr>
        <w:t xml:space="preserve">вительства Российской Федерации от 09.08.2022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</w:t>
      </w:r>
      <w:r>
        <w:rPr>
          <w:bCs/>
          <w:sz w:val="24"/>
          <w:szCs w:val="24"/>
        </w:rPr>
        <w:t xml:space="preserve">у</w:t>
      </w:r>
      <w:r>
        <w:rPr>
          <w:bCs/>
          <w:sz w:val="24"/>
          <w:szCs w:val="24"/>
        </w:rPr>
        <w:t xml:space="preserve">словиями, со</w:t>
      </w:r>
      <w:r>
        <w:rPr>
          <w:bCs/>
          <w:sz w:val="24"/>
          <w:szCs w:val="24"/>
        </w:rPr>
        <w:t xml:space="preserve">держать следующие </w:t>
      </w:r>
      <w:r>
        <w:rPr>
          <w:bCs/>
          <w:sz w:val="24"/>
          <w:szCs w:val="24"/>
        </w:rPr>
        <w:t xml:space="preserve">требования: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а)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(подрядчиком, исполнителем) обеспеченных ею обязательств составленное по форме согласно приложению 4 </w:t>
      </w:r>
      <w:r>
        <w:rPr>
          <w:bCs/>
          <w:sz w:val="24"/>
          <w:szCs w:val="24"/>
        </w:rPr>
        <w:t xml:space="preserve">(приложение 3.3 к Методике ТФУ) </w:t>
      </w:r>
      <w:r>
        <w:rPr>
          <w:bCs/>
          <w:sz w:val="24"/>
          <w:szCs w:val="24"/>
        </w:rPr>
        <w:t xml:space="preserve">к Положению требование об уплате денежной суммы по Независимой гарантии в размере цены Договора, уменьшенно</w:t>
      </w:r>
      <w:r>
        <w:rPr>
          <w:bCs/>
          <w:sz w:val="24"/>
          <w:szCs w:val="24"/>
        </w:rPr>
        <w:t xml:space="preserve">й</w:t>
      </w:r>
      <w:r>
        <w:rPr>
          <w:bCs/>
          <w:sz w:val="24"/>
          <w:szCs w:val="24"/>
        </w:rPr>
        <w:t xml:space="preserve"> на сумму, пропорциональную объему исполненных </w:t>
      </w:r>
      <w:r>
        <w:rPr>
          <w:bCs/>
          <w:sz w:val="24"/>
          <w:szCs w:val="24"/>
        </w:rPr>
        <w:t xml:space="preserve">Контрагентом</w:t>
      </w:r>
      <w:r>
        <w:rPr>
          <w:bCs/>
          <w:sz w:val="24"/>
          <w:szCs w:val="24"/>
        </w:rPr>
        <w:t xml:space="preserve"> обязательств, которые предусмотрены Договором и в отношении которых бенефициаром осуществлена приемка, но не превышающе</w:t>
      </w:r>
      <w:r>
        <w:rPr>
          <w:bCs/>
          <w:sz w:val="24"/>
          <w:szCs w:val="24"/>
        </w:rPr>
        <w:t xml:space="preserve">й</w:t>
      </w:r>
      <w:r>
        <w:rPr>
          <w:bCs/>
          <w:sz w:val="24"/>
          <w:szCs w:val="24"/>
        </w:rPr>
        <w:t xml:space="preserve"> размер обеспечения исполнения Договора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сумму Независимой гарантии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б) условие о праве бенефициара направля</w:t>
      </w:r>
      <w:r>
        <w:rPr>
          <w:bCs/>
          <w:sz w:val="24"/>
          <w:szCs w:val="24"/>
        </w:rPr>
        <w:t xml:space="preserve">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Выбор формы направления такого требования осуществляется бенефициаром самостоятельно.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документ, подтверждающий полномочия лица, подписавшего требование об</w:t>
      </w:r>
      <w:r>
        <w:rPr>
          <w:bCs/>
          <w:sz w:val="24"/>
          <w:szCs w:val="24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Если копия документа заверена лицом, не ука</w:t>
      </w:r>
      <w:r>
        <w:rPr>
          <w:bCs/>
          <w:sz w:val="24"/>
          <w:szCs w:val="24"/>
        </w:rPr>
        <w:t xml:space="preserve">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в форме эле</w:t>
      </w:r>
      <w:r>
        <w:rPr>
          <w:bCs/>
          <w:sz w:val="24"/>
          <w:szCs w:val="24"/>
        </w:rPr>
        <w:t xml:space="preserve">ктронного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</w:t>
      </w:r>
      <w:r>
        <w:rPr>
          <w:bCs/>
          <w:sz w:val="24"/>
          <w:szCs w:val="24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Контрагентом нарушений, в том числе в случаях: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отказа Контрагента от исполнения обязательств по Договору, в том числе одностороннего отказа от Договора;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отказа Контрагента от возврата неотработанного аванса при </w:t>
      </w:r>
      <w:r>
        <w:rPr>
          <w:bCs/>
          <w:sz w:val="24"/>
          <w:szCs w:val="24"/>
        </w:rPr>
        <w:t xml:space="preserve">досрочном прекращении Договора / признании Договора недействительным;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нарушения Контрагентом сроков поставки (выполнения работ, оказания услуг), установленных Календарным графиком, более чем на 60 (шестьдесят) календарных дней;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утраты Контрагентом специальных разрешений (в том числе отзыв, прекращение (приостановление) действие допусков, разрешений) и / или лицензий, предоставляющих Контрагенту возможность надлежащего исполнения обязательств по Договору;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прекращения членства в СРО, основанной на членстве лиц, осуществляющих / выполняющих инженерные изыскания / подготовку проектной документации или осуществляющих строительство;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введения арбитражным судом процедуры несостоятельности (банкротства) в отношении Контрагента;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установления в ходе исполнения Договора фактов несоответствия Контрагента установленным документацией о закупке требованиям к участникам закупки и / или пр</w:t>
      </w:r>
      <w:r>
        <w:rPr>
          <w:bCs/>
          <w:sz w:val="24"/>
          <w:szCs w:val="24"/>
        </w:rPr>
        <w:t xml:space="preserve">едоставления недостоверной информации о своем соответствии таким требованиям, а также недостоверности, неточности или неполноты заверений Контрагента об обстоятельствах, указанных в Договоре, и имеющих существенное значение для его заключения и исполнения;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признания Договора недействительным по причинам отсутствия необходимых корпоративных одобрений у Контрагента;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непредоставления Контрагентом в срок не позднее 30 (тридцат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)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если срок исполнения обязательств Контрагента по Договору превышает срок действия Независимой гарантии либо срок исполнения обязательств продлен.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в) текст Независимой гарантии должен содержать перечень Документов к требованию</w:t>
      </w:r>
      <w:r>
        <w:rPr>
          <w:bCs/>
          <w:sz w:val="24"/>
          <w:szCs w:val="24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г)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</w:t>
      </w:r>
      <w:r>
        <w:rPr>
          <w:bCs/>
          <w:sz w:val="24"/>
          <w:szCs w:val="24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д) условие о праве бенефициара передавать право требования по Независимой гарантии в случае перемены </w:t>
      </w:r>
      <w:r>
        <w:rPr>
          <w:bCs/>
          <w:sz w:val="24"/>
          <w:szCs w:val="24"/>
        </w:rPr>
        <w:t xml:space="preserve">покупателя (</w:t>
      </w:r>
      <w:r>
        <w:rPr>
          <w:bCs/>
          <w:sz w:val="24"/>
          <w:szCs w:val="24"/>
        </w:rPr>
        <w:t xml:space="preserve">заказчика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по Договору </w:t>
      </w:r>
      <w:r>
        <w:rPr>
          <w:bCs/>
          <w:sz w:val="24"/>
          <w:szCs w:val="24"/>
        </w:rPr>
        <w:t xml:space="preserve">при осуществлении закупки с предварительным извещением об этом гаранта;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е) условие о том, что расходы, возникающие в связи с перечислением гарантом денежных средств по Независимой гарантии, несет гарант;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ж) условие о том, что исключение банка (если Независимая гарантия выдана банком) из перечня, предусмотренного частью 1.2 статьи 45 Федерального </w:t>
      </w:r>
      <w:r>
        <w:rPr>
          <w:bCs/>
          <w:sz w:val="24"/>
          <w:szCs w:val="24"/>
        </w:rPr>
        <w:t xml:space="preserve">закона от 05.04.2013 № 44-ФЗ «О контрактной</w:t>
      </w:r>
      <w:r>
        <w:rPr>
          <w:bCs/>
          <w:sz w:val="24"/>
          <w:szCs w:val="24"/>
        </w:rPr>
        <w:t xml:space="preserve">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</w:t>
      </w:r>
      <w:r>
        <w:rPr>
          <w:bCs/>
          <w:sz w:val="24"/>
          <w:szCs w:val="24"/>
        </w:rPr>
        <w:t xml:space="preserve">го предпринимательства, предусмотренного Федеральным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sz w:val="24"/>
          <w:szCs w:val="24"/>
        </w:rPr>
        <w:t xml:space="preserve">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з) условие о рассмо</w:t>
      </w:r>
      <w:r>
        <w:rPr>
          <w:bCs/>
          <w:sz w:val="24"/>
          <w:szCs w:val="24"/>
        </w:rPr>
        <w:t xml:space="preserve">трении споров, возникающих в связи с исполнением обязательств по Независимой гарантии, в 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рбитражном суде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Хабаровского края</w:t>
      </w:r>
      <w:r>
        <w:rPr>
          <w:bCs/>
          <w:sz w:val="24"/>
          <w:szCs w:val="24"/>
        </w:rPr>
        <w:t xml:space="preserve">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и) условие, согласно которому исполнением обязательств гаранта по Независимой гарантии является факти</w:t>
      </w:r>
      <w:r>
        <w:rPr>
          <w:bCs/>
          <w:sz w:val="24"/>
          <w:szCs w:val="24"/>
        </w:rP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к) условие, содержащее обязанность гаранта уплатить бенефициару денежную сумму по Независимой гарантии в размере, указанном в требовании, не позднее 10 (десяти) раб</w:t>
      </w:r>
      <w:r>
        <w:rPr>
          <w:bCs/>
          <w:sz w:val="24"/>
          <w:szCs w:val="24"/>
        </w:rP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не должна содержать условия: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а) 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б)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</w:t>
      </w:r>
      <w:r>
        <w:rPr>
          <w:bCs/>
          <w:sz w:val="24"/>
          <w:szCs w:val="24"/>
        </w:rPr>
        <w:t xml:space="preserve">Контрагентом </w:t>
      </w:r>
      <w:r>
        <w:rPr>
          <w:bCs/>
          <w:sz w:val="24"/>
          <w:szCs w:val="24"/>
        </w:rPr>
        <w:t xml:space="preserve">условий договора или о расторжении договора;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в) 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bCs/>
          <w:sz w:val="24"/>
          <w:szCs w:val="24"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г)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может быть принята от 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</w:t>
      </w:r>
      <w:r>
        <w:rPr>
          <w:bCs/>
          <w:sz w:val="24"/>
          <w:szCs w:val="24"/>
        </w:rPr>
        <w:t xml:space="preserve">рственных и муниципальных нужд» (далее Федеральный закон № 44-ФЗ):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1) банками, соответствующими требованиям, установленным Правительством Российской Федерации, и включенными в перечень, предусмотренный частью 1.2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статьи 45 Ф</w:t>
      </w:r>
      <w:r>
        <w:rPr>
          <w:bCs/>
          <w:sz w:val="24"/>
          <w:szCs w:val="24"/>
        </w:rPr>
        <w:t xml:space="preserve">едерального закона № 44-ФЗ</w:t>
      </w:r>
      <w:r>
        <w:rPr>
          <w:bCs/>
          <w:sz w:val="24"/>
          <w:szCs w:val="24"/>
        </w:rPr>
        <w:t xml:space="preserve">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(https://minfin.gov.ru/ru/perfomance/contracts/list_banks/);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2) государственной корпорацией развития "ВЭБ.РФ";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3) 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</w:t>
      </w:r>
      <w:r>
        <w:rPr>
          <w:bCs/>
          <w:sz w:val="24"/>
          <w:szCs w:val="24"/>
        </w:rPr>
        <w:t xml:space="preserve">нимательства, предусмотренной Федеральным законом от 24 июля 2007 года N 209-ФЗ "О развитии малого и среднего предпринимательства в Российской Федерации", соответствующими требованиям, установленным Правительством Российской Федерации, и включенными в пере</w:t>
      </w:r>
      <w:r>
        <w:rPr>
          <w:bCs/>
          <w:sz w:val="24"/>
          <w:szCs w:val="24"/>
        </w:rPr>
        <w:t xml:space="preserve">чень, предусмотренный частью 1.7.</w:t>
      </w:r>
      <w:r>
        <w:rPr>
          <w:bCs/>
          <w:sz w:val="24"/>
          <w:szCs w:val="24"/>
        </w:rPr>
        <w:t xml:space="preserve"> статьи</w:t>
      </w:r>
      <w:r>
        <w:rPr>
          <w:bCs/>
          <w:sz w:val="24"/>
          <w:szCs w:val="24"/>
        </w:rPr>
        <w:t xml:space="preserve"> 45 Федерального закона № 44-ФЗ </w:t>
      </w:r>
      <w:r>
        <w:rPr>
          <w:bCs/>
          <w:sz w:val="24"/>
          <w:szCs w:val="24"/>
        </w:rPr>
        <w:t xml:space="preserve">(при осуществлении закупок в соответствии с пунктом</w:t>
      </w:r>
      <w:r>
        <w:rPr>
          <w:bCs/>
          <w:sz w:val="24"/>
          <w:szCs w:val="24"/>
        </w:rPr>
        <w:t xml:space="preserve"> 1 части 1 статьи 30 настоящего </w:t>
      </w:r>
      <w:r>
        <w:rPr>
          <w:bCs/>
          <w:sz w:val="24"/>
          <w:szCs w:val="24"/>
        </w:rPr>
        <w:t xml:space="preserve">Федерального закона)</w:t>
      </w:r>
      <w:r>
        <w:rPr>
          <w:bCs/>
          <w:sz w:val="24"/>
          <w:szCs w:val="24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</w:t>
      </w:r>
      <w:r>
        <w:rPr>
          <w:bCs/>
          <w:sz w:val="24"/>
          <w:szCs w:val="24"/>
          <w:lang w:val="en-US"/>
        </w:rPr>
        <w:t xml:space="preserve">org</w:t>
      </w:r>
      <w:r>
        <w:rPr>
          <w:bCs/>
          <w:sz w:val="24"/>
          <w:szCs w:val="24"/>
        </w:rPr>
        <w:t xml:space="preserve">/);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4) Евразийским банком развития (если участник закупки является юридическим лицом, зареги</w:t>
      </w:r>
      <w:r>
        <w:rPr>
          <w:bCs/>
          <w:sz w:val="24"/>
          <w:szCs w:val="24"/>
        </w:rP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Гарант в случае просрочки исполнения обязательств по Независимой гар</w:t>
      </w:r>
      <w:r>
        <w:rPr>
          <w:bCs/>
          <w:sz w:val="24"/>
          <w:szCs w:val="24"/>
        </w:rPr>
        <w:t xml:space="preserve">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</w:t>
      </w:r>
      <w:r>
        <w:rPr>
          <w:sz w:val="24"/>
          <w:szCs w:val="24"/>
        </w:rPr>
        <w:t xml:space="preserve">(начиная со дня, следующего за днем истечения установленного Независимой гарантией срока оплаты требования, по день исполнения гарантом требования включительно) </w:t>
      </w:r>
      <w:r>
        <w:rPr>
          <w:bCs/>
          <w:sz w:val="24"/>
          <w:szCs w:val="24"/>
        </w:rPr>
        <w:t xml:space="preserve">уплатить </w:t>
      </w:r>
      <w:r>
        <w:rPr>
          <w:bCs/>
          <w:sz w:val="24"/>
          <w:szCs w:val="24"/>
        </w:rPr>
        <w:t xml:space="preserve">бенефициару</w:t>
      </w:r>
      <w:r>
        <w:rPr>
          <w:bCs/>
          <w:sz w:val="24"/>
          <w:szCs w:val="24"/>
        </w:rPr>
        <w:t xml:space="preserve"> неустойку (пени) в размере 0,1 процента денежной суммы, подлежащей уплате по Независимой гарантии.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Условия Независимых гарантий</w:t>
      </w:r>
      <w:r>
        <w:rPr>
          <w:bCs/>
          <w:sz w:val="24"/>
          <w:szCs w:val="24"/>
        </w:rPr>
        <w:t xml:space="preserve"> не должны противоречить: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положениям извещения об осуществлении конкурентной закупки,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документации о конкурентной закупке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Единому Положению о закупке продукции для нужд Группы РусГидро,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требованиям к условиям Н</w:t>
      </w:r>
      <w:r>
        <w:rPr>
          <w:bCs/>
          <w:sz w:val="24"/>
          <w:szCs w:val="24"/>
        </w:rPr>
        <w:t xml:space="preserve">езависимой гарантий, установленным Положением.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Несоответствие Независимой гарантии, предоставленной </w:t>
      </w:r>
      <w:r>
        <w:rPr>
          <w:bCs/>
          <w:sz w:val="24"/>
          <w:szCs w:val="24"/>
        </w:rPr>
        <w:t xml:space="preserve">Контрагентом</w:t>
      </w:r>
      <w:r>
        <w:rPr>
          <w:bCs/>
          <w:sz w:val="24"/>
          <w:szCs w:val="24"/>
        </w:rPr>
        <w:t xml:space="preserve">, вышеперечисленным требованиям, является основанием для отказа в принятии ее бенефициаром (</w:t>
      </w:r>
      <w:r>
        <w:rPr>
          <w:bCs/>
          <w:sz w:val="24"/>
          <w:szCs w:val="24"/>
        </w:rPr>
        <w:t xml:space="preserve">Обществом</w:t>
      </w:r>
      <w:r>
        <w:rPr>
          <w:bCs/>
          <w:sz w:val="24"/>
          <w:szCs w:val="24"/>
        </w:rPr>
        <w:t xml:space="preserve">).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41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</w:pPr>
      <w:r>
        <w:rPr>
          <w:sz w:val="24"/>
          <w:szCs w:val="24"/>
        </w:rPr>
      </w:r>
      <w:r>
        <w:rPr>
          <w:szCs w:val="24"/>
        </w:rPr>
      </w:r>
      <w:r>
        <w:rPr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44"/>
        <w:gridCol w:w="43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 /_______________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jc w:val="right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  <w:br w:type="page" w:clear="all"/>
        <w:t xml:space="preserve">Приложение № 4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jc w:val="right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  <w:t xml:space="preserve">к договору № ____________________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jc w:val="right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jc w:val="center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</w:r>
      <w:r>
        <w:rPr>
          <w:rFonts w:eastAsia="Lucida Sans Unicode"/>
          <w:bCs/>
          <w:szCs w:val="24"/>
        </w:rPr>
        <w:t xml:space="preserve">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pStyle w:val="1041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НЕЗАВИСИМАЯ ГАРАНТИЯ,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pStyle w:val="10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</w:t>
      </w:r>
      <w:r>
        <w:rPr>
          <w:b/>
          <w:sz w:val="28"/>
          <w:szCs w:val="28"/>
        </w:rPr>
        <w:t xml:space="preserve">ая</w:t>
      </w:r>
      <w:r>
        <w:rPr>
          <w:b/>
          <w:sz w:val="28"/>
          <w:szCs w:val="28"/>
        </w:rPr>
        <w:t xml:space="preserve"> в качестве обеспечения</w:t>
      </w:r>
      <w:r>
        <w:rPr>
          <w:b/>
          <w:sz w:val="28"/>
          <w:szCs w:val="28"/>
        </w:rPr>
        <w:t xml:space="preserve">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заключаемого при осуществлении конкурентной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</w:t>
      </w:r>
      <w:r>
        <w:rPr>
          <w:b/>
          <w:sz w:val="28"/>
          <w:szCs w:val="28"/>
        </w:rPr>
        <w:t xml:space="preserve"> могут быть только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41"/>
      </w:pPr>
      <w:r/>
      <w:r/>
    </w:p>
    <w:p>
      <w:pPr>
        <w:pStyle w:val="1041"/>
      </w:pPr>
      <w:r/>
      <w:r/>
    </w:p>
    <w:tbl>
      <w:tblPr>
        <w:tblW w:w="4960" w:type="dxa"/>
        <w:jc w:val="right"/>
        <w:tblInd w:w="285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blPrEx/>
        <w:trPr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041"/>
              <w:ind w:right="113"/>
              <w:jc w:val="right"/>
            </w:pPr>
            <w:r>
              <w:t xml:space="preserve">Дата выдачи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041"/>
              <w:ind w:right="113"/>
              <w:jc w:val="right"/>
            </w:pPr>
            <w:r>
              <w:t xml:space="preserve">Номер независимой гарантии</w:t>
            </w:r>
            <w:r>
              <w:rPr>
                <w:rStyle w:val="1098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</w:tbl>
    <w:p>
      <w:pPr>
        <w:pStyle w:val="1041"/>
      </w:pPr>
      <w:r/>
      <w:r/>
    </w:p>
    <w:p>
      <w:pPr>
        <w:pStyle w:val="1041"/>
      </w:pPr>
      <w:r/>
      <w:r/>
    </w:p>
    <w:p>
      <w:pPr>
        <w:pStyle w:val="10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1"/>
      </w:pPr>
      <w:r/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top"/>
            <w:vMerge w:val="restart"/>
            <w:textDirection w:val="lrTb"/>
            <w:noWrap w:val="false"/>
          </w:tcPr>
          <w:p>
            <w:pPr>
              <w:pStyle w:val="1041"/>
            </w:pPr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БИК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pStyle w:val="1041"/>
            </w:pPr>
            <w:r>
              <w:t xml:space="preserve">Полное наименование</w:t>
            </w:r>
            <w:r>
              <w:br/>
            </w:r>
            <w:r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ИНН</w:t>
            </w:r>
            <w:r>
              <w:rPr>
                <w:rStyle w:val="1098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КПП</w:t>
            </w:r>
            <w:r>
              <w:rPr>
                <w:rStyle w:val="1098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top"/>
            <w:vMerge w:val="restart"/>
            <w:textDirection w:val="lrTb"/>
            <w:noWrap w:val="false"/>
          </w:tcPr>
          <w:p>
            <w:pPr>
              <w:pStyle w:val="1041"/>
            </w:pPr>
            <w:r>
              <w:t xml:space="preserve">Полное наименование</w:t>
            </w:r>
            <w:r>
              <w:br/>
            </w:r>
            <w:r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</w:tbl>
    <w:p>
      <w:pPr>
        <w:pStyle w:val="1041"/>
      </w:pPr>
      <w:r/>
      <w:r/>
    </w:p>
    <w:p>
      <w:pPr>
        <w:pStyle w:val="1041"/>
      </w:pPr>
      <w:r/>
      <w:r/>
    </w:p>
    <w:p>
      <w:pPr>
        <w:pStyle w:val="10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закупке, для обеспечения договора, заключаемого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которой, предоставляется независимая гарантия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1"/>
      </w:pPr>
      <w:r/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</w:tbl>
    <w:p>
      <w:pPr>
        <w:pStyle w:val="1041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Предмет договора</w:t>
            </w:r>
            <w:r>
              <w:rPr>
                <w:rStyle w:val="1098"/>
              </w:rP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</w:tbl>
    <w:p>
      <w:pPr>
        <w:pStyle w:val="1041"/>
      </w:pPr>
      <w:r/>
      <w:r/>
    </w:p>
    <w:p>
      <w:pPr>
        <w:pStyle w:val="1041"/>
        <w:spacing w:after="200" w:line="276" w:lineRule="auto"/>
      </w:pPr>
      <w:r/>
      <w:r/>
    </w:p>
    <w:p>
      <w:pPr>
        <w:pStyle w:val="1041"/>
        <w:spacing w:after="200" w:line="276" w:lineRule="auto"/>
      </w:pPr>
      <w:r/>
      <w:r/>
    </w:p>
    <w:p>
      <w:pPr>
        <w:pStyle w:val="1041"/>
        <w:spacing w:after="200" w:line="276" w:lineRule="auto"/>
      </w:pPr>
      <w:r/>
      <w:r/>
    </w:p>
    <w:p>
      <w:pPr>
        <w:pStyle w:val="1041"/>
        <w:spacing w:after="200" w:line="276" w:lineRule="auto"/>
      </w:pPr>
      <w:r/>
      <w:r/>
    </w:p>
    <w:p>
      <w:pPr>
        <w:pStyle w:val="10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Условия независимой гарантии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41"/>
      </w:pPr>
      <w:r/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Сумма независимой гарантии, подлежащая уплате гарантом бенефициару (далее </w:t>
            </w:r>
            <w:r>
              <w:t xml:space="preserve">—</w:t>
            </w:r>
            <w:r>
              <w:t xml:space="preserve"> сумма независимой гарантии)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Наименование валюты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>
              <w:t xml:space="preserve">по ОКВ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Срок вступления независимой</w:t>
            </w:r>
            <w:r/>
          </w:p>
          <w:p>
            <w:pPr>
              <w:pStyle w:val="1041"/>
            </w:pPr>
            <w:r>
              <w:t xml:space="preserve">га</w:t>
            </w:r>
            <w:r>
              <w:t xml:space="preserve">рантии в силу</w:t>
            </w:r>
            <w:r>
              <w:rPr>
                <w:rStyle w:val="1098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41"/>
              <w:rPr>
                <w:lang w:val="en-US"/>
              </w:rPr>
            </w:pPr>
            <w:r>
              <w:t xml:space="preserve">Срок действия независимой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41"/>
              <w:rPr>
                <w:lang w:val="en-US"/>
              </w:rPr>
            </w:pPr>
            <w:r>
              <w:t xml:space="preserve">гаран</w:t>
            </w:r>
            <w:r>
              <w:t xml:space="preserve">тии</w:t>
            </w:r>
            <w:r>
              <w:rPr>
                <w:vertAlign w:val="superscript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41"/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</w:tbl>
    <w:p>
      <w:pPr>
        <w:pStyle w:val="1041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 Настоящая независимая гарантия не может быть отозвана гарантом.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 Бенефициар в случае неисполне</w:t>
      </w:r>
      <w:r>
        <w:rPr>
          <w:sz w:val="23"/>
          <w:szCs w:val="23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sz w:val="23"/>
          <w:szCs w:val="23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"/>
          <w:szCs w:val="2"/>
        </w:rPr>
      </w:pPr>
      <w:r>
        <w:rPr>
          <w:sz w:val="23"/>
          <w:szCs w:val="23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176"/>
        <w:gridCol w:w="8875"/>
        <w:gridCol w:w="140"/>
      </w:tblGrid>
      <w:tr>
        <w:tblPrEx/>
        <w:trPr>
          <w:trHeight w:val="156"/>
        </w:trPr>
        <w:tc>
          <w:tcPr>
            <w:tcW w:w="1176" w:type="dxa"/>
            <w:vAlign w:val="bottom"/>
            <w:textDirection w:val="lrTb"/>
            <w:noWrap w:val="false"/>
          </w:tcPr>
          <w:p>
            <w:pPr>
              <w:pStyle w:val="10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адресу: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8875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pStyle w:val="1041"/>
              <w:jc w:val="right"/>
              <w:rPr>
                <w:sz w:val="23"/>
                <w:szCs w:val="23"/>
              </w:rPr>
            </w:pPr>
            <w:r>
              <w:rPr>
                <w:rStyle w:val="1098"/>
              </w:rPr>
              <w:t xml:space="preserve">6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pStyle w:val="1041"/>
        <w:jc w:val="both"/>
        <w:rPr>
          <w:sz w:val="2"/>
          <w:szCs w:val="2"/>
        </w:rPr>
      </w:pPr>
      <w:r>
        <w:rPr>
          <w:sz w:val="23"/>
          <w:szCs w:val="23"/>
        </w:rPr>
        <w:t xml:space="preserve">6. Требование в форме электронного документа должно быть направлено (в случае если бенефи-</w:t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7125"/>
        <w:gridCol w:w="2926"/>
        <w:gridCol w:w="140"/>
      </w:tblGrid>
      <w:tr>
        <w:tblPrEx/>
        <w:trPr>
          <w:trHeight w:val="156"/>
        </w:trPr>
        <w:tc>
          <w:tcPr>
            <w:tcW w:w="7125" w:type="dxa"/>
            <w:vAlign w:val="bottom"/>
            <w:textDirection w:val="lrTb"/>
            <w:noWrap w:val="false"/>
          </w:tcPr>
          <w:p>
            <w:pPr>
              <w:pStyle w:val="10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циар направляет требование гаранту в форме электронного документа)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926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pStyle w:val="1041"/>
              <w:jc w:val="right"/>
              <w:rPr>
                <w:sz w:val="23"/>
                <w:szCs w:val="23"/>
              </w:rPr>
            </w:pPr>
            <w:r>
              <w:rPr>
                <w:rStyle w:val="1098"/>
              </w:rPr>
              <w:t xml:space="preserve">7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а) расчет суммы, включаемой в требование по настоящей независимой гарантии;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sz w:val="23"/>
          <w:szCs w:val="23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 В случае направления требования бенефициаром на бумажном носителе предст</w:t>
      </w:r>
      <w:r>
        <w:rPr>
          <w:sz w:val="23"/>
          <w:szCs w:val="23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3"/>
          <w:szCs w:val="23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3"/>
          <w:szCs w:val="23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3"/>
          <w:szCs w:val="23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 Обязательство гаранта перед бенефициаром считается исполненным надл</w:t>
      </w:r>
      <w:r>
        <w:rPr>
          <w:sz w:val="23"/>
          <w:szCs w:val="23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 Гарант в случае просрочки исполнения обя</w:t>
      </w:r>
      <w:r>
        <w:rPr>
          <w:sz w:val="23"/>
          <w:szCs w:val="23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3"/>
          <w:szCs w:val="23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 Исключение банка (если настоящая независимая гарантия выдана банком) из перечня, предусмотренного частью 1</w:t>
      </w:r>
      <w:r>
        <w:rPr>
          <w:sz w:val="23"/>
          <w:szCs w:val="23"/>
        </w:rPr>
        <w:t xml:space="preserve">.2</w:t>
      </w:r>
      <w:r>
        <w:rPr>
          <w:sz w:val="23"/>
          <w:szCs w:val="23"/>
        </w:rPr>
        <w:t xml:space="preserve"> статьи 45</w:t>
      </w:r>
      <w:r>
        <w:rPr>
          <w:sz w:val="23"/>
          <w:szCs w:val="23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</w:t>
      </w:r>
      <w:r>
        <w:rPr>
          <w:sz w:val="23"/>
          <w:szCs w:val="23"/>
        </w:rPr>
        <w:t xml:space="preserve">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</w:t>
      </w:r>
      <w:r>
        <w:rPr>
          <w:sz w:val="23"/>
          <w:szCs w:val="23"/>
        </w:rPr>
        <w:t xml:space="preserve">.7</w:t>
      </w:r>
      <w:r>
        <w:rPr>
          <w:sz w:val="23"/>
          <w:szCs w:val="23"/>
        </w:rPr>
        <w:t xml:space="preserve">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rPr>
          <w:sz w:val="2"/>
          <w:szCs w:val="2"/>
        </w:rPr>
      </w:pPr>
      <w:r>
        <w:rPr>
          <w:sz w:val="23"/>
          <w:szCs w:val="23"/>
        </w:rPr>
        <w:t xml:space="preserve">15. Споры, возникающие в связи с исполнением обязательств по настоящей независимой гарантии,</w:t>
      </w:r>
      <w:r>
        <w:rPr>
          <w:sz w:val="23"/>
          <w:szCs w:val="23"/>
        </w:rPr>
        <w:t xml:space="preserve"> подлежат рассмотрению в арбитражном суде Хабаровского края.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sz w:val="23"/>
          <w:szCs w:val="23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 Дополнительные условия</w:t>
      </w:r>
      <w:r>
        <w:rPr>
          <w:sz w:val="23"/>
          <w:szCs w:val="23"/>
          <w:vertAlign w:val="superscript"/>
        </w:rPr>
        <w:t xml:space="preserve">1,</w:t>
      </w:r>
      <w:r>
        <w:rPr>
          <w:sz w:val="23"/>
          <w:szCs w:val="23"/>
          <w:vertAlign w:val="superscript"/>
        </w:rPr>
        <w:t xml:space="preserve"> </w:t>
      </w:r>
      <w:r>
        <w:rPr>
          <w:rStyle w:val="1098"/>
          <w:sz w:val="23"/>
          <w:szCs w:val="23"/>
        </w:rPr>
        <w:t xml:space="preserve">8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41"/>
      </w:pPr>
      <w:r/>
      <w:r/>
    </w:p>
    <w:p>
      <w:pPr>
        <w:pStyle w:val="1041"/>
      </w:pPr>
      <w:r/>
      <w:r/>
    </w:p>
    <w:p>
      <w:pPr>
        <w:pStyle w:val="1041"/>
      </w:pPr>
      <w:r/>
      <w:r/>
    </w:p>
    <w:p>
      <w:pPr>
        <w:pStyle w:val="1041"/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лицо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pStyle w:val="1041"/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3836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pStyle w:val="1041"/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pStyle w:val="1041"/>
            </w:pPr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pStyle w:val="1041"/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pStyle w:val="1041"/>
            </w:pPr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pStyle w:val="1041"/>
              <w:jc w:val="right"/>
            </w:pPr>
            <w:r>
              <w:t xml:space="preserve">г.</w:t>
            </w:r>
            <w:r/>
          </w:p>
        </w:tc>
      </w:tr>
    </w:tbl>
    <w:p>
      <w:pPr>
        <w:pStyle w:val="1041"/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2834" w:type="dxa"/>
        <w:jc w:val="right"/>
        <w:tblInd w:w="2411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041"/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  <w:tr>
        <w:tblPrEx/>
        <w:trPr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041"/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1041"/>
              <w:jc w:val="center"/>
            </w:pPr>
            <w:r/>
            <w:r/>
          </w:p>
        </w:tc>
      </w:tr>
    </w:tbl>
    <w:p>
      <w:pPr>
        <w:pStyle w:val="1041"/>
      </w:pPr>
      <w:r/>
      <w:r/>
    </w:p>
    <w:p>
      <w:pPr>
        <w:pStyle w:val="1041"/>
      </w:pPr>
      <w:r/>
      <w:r/>
    </w:p>
    <w:p>
      <w:pPr>
        <w:pStyle w:val="1041"/>
      </w:pPr>
      <w:r>
        <w:t xml:space="preserve">_________________</w:t>
      </w:r>
      <w:r>
        <w:t xml:space="preserve">____________________</w:t>
      </w:r>
      <w:r/>
    </w:p>
    <w:p>
      <w:pPr>
        <w:pStyle w:val="1099"/>
        <w:jc w:val="both"/>
        <w:rPr>
          <w:sz w:val="16"/>
          <w:szCs w:val="16"/>
        </w:rPr>
      </w:pPr>
      <w:r>
        <w:rPr>
          <w:rStyle w:val="1098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9"/>
        <w:jc w:val="both"/>
        <w:rPr>
          <w:sz w:val="16"/>
          <w:szCs w:val="16"/>
        </w:rPr>
      </w:pPr>
      <w:r>
        <w:rPr>
          <w:rStyle w:val="1098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9"/>
        <w:jc w:val="both"/>
        <w:rPr>
          <w:sz w:val="16"/>
          <w:szCs w:val="16"/>
        </w:rPr>
      </w:pPr>
      <w:r>
        <w:rPr>
          <w:rStyle w:val="1098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9"/>
        <w:jc w:val="both"/>
        <w:rPr>
          <w:sz w:val="16"/>
          <w:szCs w:val="16"/>
        </w:rPr>
      </w:pPr>
      <w:r>
        <w:rPr>
          <w:rStyle w:val="1098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9"/>
        <w:jc w:val="both"/>
        <w:rPr>
          <w:sz w:val="16"/>
          <w:szCs w:val="16"/>
        </w:rPr>
      </w:pPr>
      <w:r>
        <w:rPr>
          <w:rStyle w:val="1098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9"/>
        <w:jc w:val="both"/>
        <w:rPr>
          <w:sz w:val="16"/>
          <w:szCs w:val="16"/>
        </w:rPr>
      </w:pPr>
      <w:r>
        <w:rPr>
          <w:rStyle w:val="1098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9"/>
        <w:jc w:val="both"/>
        <w:rPr>
          <w:sz w:val="16"/>
          <w:szCs w:val="16"/>
        </w:rPr>
      </w:pPr>
      <w:r>
        <w:rPr>
          <w:rStyle w:val="1098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9"/>
        <w:jc w:val="both"/>
        <w:rPr>
          <w:sz w:val="16"/>
          <w:szCs w:val="16"/>
        </w:rPr>
      </w:pPr>
      <w:r>
        <w:rPr>
          <w:rStyle w:val="1098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</w:t>
      </w:r>
      <w:r>
        <w:rPr>
          <w:sz w:val="16"/>
          <w:szCs w:val="16"/>
        </w:rPr>
        <w:t xml:space="preserve">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41"/>
        <w:jc w:val="right"/>
      </w:pPr>
      <w:r/>
      <w:r/>
    </w:p>
    <w:p>
      <w:pPr>
        <w:pStyle w:val="1041"/>
        <w:jc w:val="right"/>
      </w:pPr>
      <w:r/>
      <w:r/>
    </w:p>
    <w:p>
      <w:pPr>
        <w:jc w:val="both"/>
        <w:spacing w:line="264" w:lineRule="auto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20"/>
        <w:jc w:val="right"/>
        <w:widowControl w:val="off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30"/>
        <w:gridCol w:w="4674"/>
      </w:tblGrid>
      <w:tr>
        <w:tblPrEx/>
        <w:trPr>
          <w:trHeight w:val="194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4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 /________________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pStyle w:val="1093"/>
        <w:jc w:val="right"/>
        <w:spacing w:after="0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  <w:lang w:val="ru-RU"/>
        </w:rPr>
        <w:br w:type="page" w:clear="all"/>
        <w:t xml:space="preserve">Приложение № 5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pStyle w:val="1093"/>
        <w:jc w:val="right"/>
        <w:spacing w:after="0"/>
        <w:rPr>
          <w:szCs w:val="24"/>
        </w:rPr>
      </w:pPr>
      <w:r>
        <w:rPr>
          <w:rFonts w:eastAsia="Lucida Sans Unicode"/>
          <w:bCs/>
          <w:sz w:val="24"/>
          <w:szCs w:val="24"/>
          <w:lang w:val="ru-RU"/>
        </w:rPr>
        <w:t xml:space="preserve">к договору № ________________________</w:t>
      </w:r>
      <w:r>
        <w:rPr>
          <w:szCs w:val="24"/>
        </w:rPr>
      </w:r>
      <w:r>
        <w:rPr>
          <w:szCs w:val="24"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Акт приема передачи передачи независимой гарантии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2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г. Хабаровск                                                                                       «_____»________202__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во исполнение пункта 4.1.9. Договора поставки от              «_____»_________202__ г. №_____________ о том, что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________________________________, именуемое в дальнейшем Поставщик, в лице ____________________, действующего на основании _______________</w:t>
      </w:r>
      <w:r>
        <w:rPr>
          <w:sz w:val="24"/>
          <w:szCs w:val="24"/>
        </w:rPr>
        <w:t xml:space="preserve">, с одной стороны, передало, 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b/>
        </w:rPr>
      </w:pPr>
      <w:r>
        <w:rPr>
          <w:sz w:val="24"/>
          <w:szCs w:val="24"/>
        </w:rPr>
        <w:t xml:space="preserve"> Акционерное общество «Дальневосточна</w:t>
      </w:r>
      <w:r>
        <w:rPr>
          <w:sz w:val="24"/>
          <w:szCs w:val="24"/>
        </w:rPr>
        <w:t xml:space="preserve">я </w:t>
      </w:r>
      <w:r>
        <w:rPr>
          <w:sz w:val="24"/>
          <w:szCs w:val="24"/>
        </w:rPr>
        <w:t xml:space="preserve">генерирующая компания» (АО «ДГК»), в лице _____________________________, действующего на основании _______________, с другой стороны, получило незавиисимую гарантию исполнения обязательств по договору на сумму _________ (________________) рублей 00 копеек.</w:t>
      </w:r>
      <w:r>
        <w:rPr>
          <w:b/>
        </w:rPr>
      </w:r>
      <w:r>
        <w:rPr>
          <w:b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двух экземплярах, по одному экземпляру каждой из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38"/>
        <w:gridCol w:w="435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 /_______________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 w:val="0"/>
        </w:rPr>
      </w:pPr>
      <w:r>
        <w:rPr>
          <w:b w:val="0"/>
          <w:sz w:val="24"/>
          <w:szCs w:val="24"/>
        </w:rPr>
        <w:t xml:space="preserve">ФОРМА СОГЛАСОВАНА</w:t>
      </w:r>
      <w:r>
        <w:rPr>
          <w:b w:val="0"/>
        </w:rPr>
      </w:r>
      <w:r>
        <w:rPr>
          <w:b w:val="0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44"/>
        <w:gridCol w:w="43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 /________________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Lucida Sans Unicode">
    <w:panose1 w:val="020B060303080402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6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95"/>
        <w:jc w:val="both"/>
      </w:pPr>
      <w:r>
        <w:rPr>
          <w:rStyle w:val="1096"/>
        </w:rPr>
        <w:footnoteRef/>
      </w:r>
      <w:r>
        <w:t xml:space="preserve"> </w:t>
      </w:r>
      <w:r>
        <w:t xml:space="preserve">Условия подлежат обязательному включению в состав документации о закупке</w:t>
      </w:r>
      <w:r>
        <w:t xml:space="preserve">.</w:t>
      </w:r>
      <w:r/>
    </w:p>
  </w:footnote>
  <w:footnote w:id="3">
    <w:p>
      <w:pPr>
        <w:pStyle w:val="1095"/>
        <w:jc w:val="both"/>
      </w:pPr>
      <w:r>
        <w:rPr>
          <w:rStyle w:val="1096"/>
        </w:rPr>
        <w:footnoteRef/>
      </w:r>
      <w:r>
        <w:t xml:space="preserve"> </w:t>
      </w:r>
      <w:r>
        <w:t xml:space="preserve">Для Договоров на выполнение работ по комплексной замене гидроагрегатов (гидротурбин, гидрогенераторов) и Договоров генерального подряда по программе «Новое строительство».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 w:ascii="Times New Roman" w:hAnsi="Times New Roman" w:eastAsia="Times New Roman" w:cs="Times New Roman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%2.%3."/>
      <w:lvlJc w:val="left"/>
      <w:pPr>
        <w:ind w:left="1224" w:hanging="504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%2.%3."/>
      <w:lvlJc w:val="left"/>
      <w:pPr>
        <w:ind w:left="1224" w:hanging="504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2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3.%2."/>
      <w:lvlJc w:val="left"/>
      <w:pPr>
        <w:ind w:left="1141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bullet"/>
      <w:isLgl w:val="false"/>
      <w:suff w:val="tab"/>
      <w:lvlText w:val="−"/>
      <w:lvlJc w:val="left"/>
      <w:pPr>
        <w:ind w:left="1355" w:hanging="504"/>
        <w:tabs>
          <w:tab w:val="num" w:pos="1571" w:leader="none"/>
        </w:tabs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bullet"/>
      <w:isLgl w:val="false"/>
      <w:suff w:val="tab"/>
      <w:lvlText w:val="−"/>
      <w:lvlJc w:val="left"/>
      <w:pPr>
        <w:ind w:left="1355" w:hanging="504"/>
        <w:tabs>
          <w:tab w:val="num" w:pos="1571" w:leader="none"/>
        </w:tabs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2"/>
      <w:numFmt w:val="decimal"/>
      <w:isLgl w:val="false"/>
      <w:suff w:val="tab"/>
      <w:lvlText w:val="6.%3."/>
      <w:lvlJc w:val="left"/>
      <w:pPr>
        <w:ind w:left="1355" w:hanging="504"/>
        <w:tabs>
          <w:tab w:val="num" w:pos="157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6.%2."/>
      <w:lvlJc w:val="left"/>
      <w:pPr>
        <w:ind w:left="1283" w:hanging="432"/>
        <w:tabs>
          <w:tab w:val="num" w:pos="1283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6.1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6"/>
      <w:numFmt w:val="decimal"/>
      <w:isLgl w:val="false"/>
      <w:suff w:val="tab"/>
      <w:lvlText w:val="6.1.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2"/>
      <w:numFmt w:val="decimal"/>
      <w:isLgl w:val="false"/>
      <w:suff w:val="tab"/>
      <w:lvlText w:val="6.%3."/>
      <w:lvlJc w:val="left"/>
      <w:pPr>
        <w:ind w:left="1355" w:hanging="504"/>
        <w:tabs>
          <w:tab w:val="num" w:pos="157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3"/>
      <w:numFmt w:val="decimal"/>
      <w:isLgl w:val="false"/>
      <w:suff w:val="tab"/>
      <w:lvlText w:val="6.%2."/>
      <w:lvlJc w:val="left"/>
      <w:pPr>
        <w:ind w:left="1283" w:hanging="432"/>
        <w:tabs>
          <w:tab w:val="num" w:pos="1283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298" w:hanging="360"/>
        <w:tabs>
          <w:tab w:val="num" w:pos="129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018" w:hanging="360"/>
        <w:tabs>
          <w:tab w:val="num" w:pos="20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38" w:hanging="360"/>
        <w:tabs>
          <w:tab w:val="num" w:pos="273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458" w:hanging="360"/>
        <w:tabs>
          <w:tab w:val="num" w:pos="345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178" w:hanging="360"/>
        <w:tabs>
          <w:tab w:val="num" w:pos="41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98" w:hanging="360"/>
        <w:tabs>
          <w:tab w:val="num" w:pos="489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618" w:hanging="360"/>
        <w:tabs>
          <w:tab w:val="num" w:pos="561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338" w:hanging="360"/>
        <w:tabs>
          <w:tab w:val="num" w:pos="6338" w:leader="none"/>
        </w:tabs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58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decimal"/>
      <w:isLgl w:val="false"/>
      <w:suff w:val="tab"/>
      <w:lvlText w:val="3.%2."/>
      <w:lvlJc w:val="left"/>
      <w:pPr>
        <w:ind w:left="1681" w:hanging="432"/>
      </w:pPr>
    </w:lvl>
    <w:lvl w:ilvl="2">
      <w:start w:val="1"/>
      <w:numFmt w:val="decimal"/>
      <w:isLgl w:val="false"/>
      <w:suff w:val="tab"/>
      <w:lvlText w:val="4.%2.%3."/>
      <w:lvlJc w:val="left"/>
      <w:pPr>
        <w:ind w:left="2113" w:hanging="504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2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2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2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3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9" w:hanging="144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%2.%3."/>
      <w:lvlJc w:val="left"/>
      <w:pPr>
        <w:ind w:left="1224" w:hanging="504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1429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i w:val="0"/>
        <w:color w:val="000000" w:themeColor="text1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 w:ascii="Times New Roman" w:hAnsi="Times New Roman" w:eastAsia="Times New Roman" w:cs="Times New Roman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5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3">
    <w:name w:val="Heading 1 Char"/>
    <w:basedOn w:val="1044"/>
    <w:link w:val="1042"/>
    <w:uiPriority w:val="9"/>
    <w:rPr>
      <w:rFonts w:ascii="Arial" w:hAnsi="Arial" w:eastAsia="Arial" w:cs="Arial"/>
      <w:sz w:val="40"/>
      <w:szCs w:val="40"/>
    </w:rPr>
  </w:style>
  <w:style w:type="paragraph" w:styleId="874">
    <w:name w:val="Heading 2"/>
    <w:basedOn w:val="1041"/>
    <w:next w:val="1041"/>
    <w:link w:val="8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5">
    <w:name w:val="Heading 2 Char"/>
    <w:basedOn w:val="1044"/>
    <w:link w:val="874"/>
    <w:uiPriority w:val="9"/>
    <w:rPr>
      <w:rFonts w:ascii="Arial" w:hAnsi="Arial" w:eastAsia="Arial" w:cs="Arial"/>
      <w:sz w:val="34"/>
    </w:rPr>
  </w:style>
  <w:style w:type="character" w:styleId="876">
    <w:name w:val="Heading 3 Char"/>
    <w:basedOn w:val="1044"/>
    <w:link w:val="1043"/>
    <w:uiPriority w:val="9"/>
    <w:rPr>
      <w:rFonts w:ascii="Arial" w:hAnsi="Arial" w:eastAsia="Arial" w:cs="Arial"/>
      <w:sz w:val="30"/>
      <w:szCs w:val="30"/>
    </w:rPr>
  </w:style>
  <w:style w:type="paragraph" w:styleId="877">
    <w:name w:val="Heading 4"/>
    <w:basedOn w:val="1041"/>
    <w:next w:val="1041"/>
    <w:link w:val="8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8">
    <w:name w:val="Heading 4 Char"/>
    <w:basedOn w:val="1044"/>
    <w:link w:val="877"/>
    <w:uiPriority w:val="9"/>
    <w:rPr>
      <w:rFonts w:ascii="Arial" w:hAnsi="Arial" w:eastAsia="Arial" w:cs="Arial"/>
      <w:b/>
      <w:bCs/>
      <w:sz w:val="26"/>
      <w:szCs w:val="26"/>
    </w:rPr>
  </w:style>
  <w:style w:type="paragraph" w:styleId="879">
    <w:name w:val="Heading 5"/>
    <w:basedOn w:val="1041"/>
    <w:next w:val="1041"/>
    <w:link w:val="8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0">
    <w:name w:val="Heading 5 Char"/>
    <w:basedOn w:val="1044"/>
    <w:link w:val="879"/>
    <w:uiPriority w:val="9"/>
    <w:rPr>
      <w:rFonts w:ascii="Arial" w:hAnsi="Arial" w:eastAsia="Arial" w:cs="Arial"/>
      <w:b/>
      <w:bCs/>
      <w:sz w:val="24"/>
      <w:szCs w:val="24"/>
    </w:rPr>
  </w:style>
  <w:style w:type="paragraph" w:styleId="881">
    <w:name w:val="Heading 6"/>
    <w:basedOn w:val="1041"/>
    <w:next w:val="1041"/>
    <w:link w:val="8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2">
    <w:name w:val="Heading 6 Char"/>
    <w:basedOn w:val="1044"/>
    <w:link w:val="881"/>
    <w:uiPriority w:val="9"/>
    <w:rPr>
      <w:rFonts w:ascii="Arial" w:hAnsi="Arial" w:eastAsia="Arial" w:cs="Arial"/>
      <w:b/>
      <w:bCs/>
      <w:sz w:val="22"/>
      <w:szCs w:val="22"/>
    </w:rPr>
  </w:style>
  <w:style w:type="paragraph" w:styleId="883">
    <w:name w:val="Heading 7"/>
    <w:basedOn w:val="1041"/>
    <w:next w:val="1041"/>
    <w:link w:val="8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4">
    <w:name w:val="Heading 7 Char"/>
    <w:basedOn w:val="1044"/>
    <w:link w:val="8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5">
    <w:name w:val="Heading 8"/>
    <w:basedOn w:val="1041"/>
    <w:next w:val="1041"/>
    <w:link w:val="8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6">
    <w:name w:val="Heading 8 Char"/>
    <w:basedOn w:val="1044"/>
    <w:link w:val="885"/>
    <w:uiPriority w:val="9"/>
    <w:rPr>
      <w:rFonts w:ascii="Arial" w:hAnsi="Arial" w:eastAsia="Arial" w:cs="Arial"/>
      <w:i/>
      <w:iCs/>
      <w:sz w:val="22"/>
      <w:szCs w:val="22"/>
    </w:rPr>
  </w:style>
  <w:style w:type="paragraph" w:styleId="887">
    <w:name w:val="Heading 9"/>
    <w:basedOn w:val="1041"/>
    <w:next w:val="1041"/>
    <w:link w:val="8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8">
    <w:name w:val="Heading 9 Char"/>
    <w:basedOn w:val="1044"/>
    <w:link w:val="887"/>
    <w:uiPriority w:val="9"/>
    <w:rPr>
      <w:rFonts w:ascii="Arial" w:hAnsi="Arial" w:eastAsia="Arial" w:cs="Arial"/>
      <w:i/>
      <w:iCs/>
      <w:sz w:val="21"/>
      <w:szCs w:val="21"/>
    </w:rPr>
  </w:style>
  <w:style w:type="paragraph" w:styleId="889">
    <w:name w:val="No Spacing"/>
    <w:uiPriority w:val="1"/>
    <w:qFormat/>
    <w:pPr>
      <w:spacing w:before="0" w:after="0" w:line="240" w:lineRule="auto"/>
    </w:pPr>
  </w:style>
  <w:style w:type="character" w:styleId="890">
    <w:name w:val="Title Char"/>
    <w:basedOn w:val="1044"/>
    <w:link w:val="1047"/>
    <w:uiPriority w:val="10"/>
    <w:rPr>
      <w:sz w:val="48"/>
      <w:szCs w:val="48"/>
    </w:rPr>
  </w:style>
  <w:style w:type="paragraph" w:styleId="891">
    <w:name w:val="Subtitle"/>
    <w:basedOn w:val="1041"/>
    <w:next w:val="1041"/>
    <w:link w:val="892"/>
    <w:uiPriority w:val="11"/>
    <w:qFormat/>
    <w:pPr>
      <w:spacing w:before="200" w:after="200"/>
    </w:pPr>
    <w:rPr>
      <w:sz w:val="24"/>
      <w:szCs w:val="24"/>
    </w:rPr>
  </w:style>
  <w:style w:type="character" w:styleId="892">
    <w:name w:val="Subtitle Char"/>
    <w:basedOn w:val="1044"/>
    <w:link w:val="891"/>
    <w:uiPriority w:val="11"/>
    <w:rPr>
      <w:sz w:val="24"/>
      <w:szCs w:val="24"/>
    </w:rPr>
  </w:style>
  <w:style w:type="paragraph" w:styleId="893">
    <w:name w:val="Quote"/>
    <w:basedOn w:val="1041"/>
    <w:next w:val="1041"/>
    <w:link w:val="894"/>
    <w:uiPriority w:val="29"/>
    <w:qFormat/>
    <w:pPr>
      <w:ind w:left="720" w:right="720"/>
    </w:pPr>
    <w:rPr>
      <w:i/>
    </w:rPr>
  </w:style>
  <w:style w:type="character" w:styleId="894">
    <w:name w:val="Quote Char"/>
    <w:link w:val="893"/>
    <w:uiPriority w:val="29"/>
    <w:rPr>
      <w:i/>
    </w:rPr>
  </w:style>
  <w:style w:type="paragraph" w:styleId="895">
    <w:name w:val="Intense Quote"/>
    <w:basedOn w:val="1041"/>
    <w:next w:val="1041"/>
    <w:link w:val="8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6">
    <w:name w:val="Intense Quote Char"/>
    <w:link w:val="895"/>
    <w:uiPriority w:val="30"/>
    <w:rPr>
      <w:i/>
    </w:rPr>
  </w:style>
  <w:style w:type="character" w:styleId="897">
    <w:name w:val="Header Char"/>
    <w:basedOn w:val="1044"/>
    <w:link w:val="1081"/>
    <w:uiPriority w:val="99"/>
  </w:style>
  <w:style w:type="character" w:styleId="898">
    <w:name w:val="Footer Char"/>
    <w:basedOn w:val="1044"/>
    <w:link w:val="1056"/>
    <w:uiPriority w:val="99"/>
  </w:style>
  <w:style w:type="paragraph" w:styleId="899">
    <w:name w:val="Caption"/>
    <w:basedOn w:val="1041"/>
    <w:next w:val="1041"/>
    <w:link w:val="9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0">
    <w:name w:val="Caption Char"/>
    <w:basedOn w:val="899"/>
    <w:link w:val="1056"/>
    <w:uiPriority w:val="99"/>
  </w:style>
  <w:style w:type="table" w:styleId="901">
    <w:name w:val="Table Grid Light"/>
    <w:basedOn w:val="10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2">
    <w:name w:val="Plain Table 1"/>
    <w:basedOn w:val="10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3">
    <w:name w:val="Plain Table 2"/>
    <w:basedOn w:val="10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4">
    <w:name w:val="Plain Table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5">
    <w:name w:val="Plain Table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Plain Table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7">
    <w:name w:val="Grid Table 1 Light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1 Light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2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4"/>
    <w:basedOn w:val="10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9">
    <w:name w:val="Grid Table 4 - Accent 1"/>
    <w:basedOn w:val="10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0">
    <w:name w:val="Grid Table 4 - Accent 2"/>
    <w:basedOn w:val="10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1">
    <w:name w:val="Grid Table 4 - Accent 3"/>
    <w:basedOn w:val="10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2">
    <w:name w:val="Grid Table 4 - Accent 4"/>
    <w:basedOn w:val="10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3">
    <w:name w:val="Grid Table 4 - Accent 5"/>
    <w:basedOn w:val="10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4">
    <w:name w:val="Grid Table 4 - Accent 6"/>
    <w:basedOn w:val="10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5">
    <w:name w:val="Grid Table 5 Dark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6">
    <w:name w:val="Grid Table 5 Dark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37">
    <w:name w:val="Grid Table 5 Dark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38">
    <w:name w:val="Grid Table 5 Dark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39">
    <w:name w:val="Grid Table 5 Dark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0">
    <w:name w:val="Grid Table 5 Dark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2">
    <w:name w:val="Grid Table 6 Colorful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3">
    <w:name w:val="Grid Table 6 Colorful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4">
    <w:name w:val="Grid Table 6 Colorful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5">
    <w:name w:val="Grid Table 6 Colorful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6">
    <w:name w:val="Grid Table 6 Colorful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7">
    <w:name w:val="Grid Table 6 Colorful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8">
    <w:name w:val="Grid Table 6 Colorful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9">
    <w:name w:val="Grid Table 7 Colorful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7 Colorful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4">
    <w:name w:val="List Table 2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5">
    <w:name w:val="List Table 2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6">
    <w:name w:val="List Table 2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7">
    <w:name w:val="List Table 2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8">
    <w:name w:val="List Table 2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9">
    <w:name w:val="List Table 2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0">
    <w:name w:val="List Table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3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5 Dark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5 Dark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6 Colorful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2">
    <w:name w:val="List Table 6 Colorful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3">
    <w:name w:val="List Table 6 Colorful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4">
    <w:name w:val="List Table 6 Colorful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5">
    <w:name w:val="List Table 6 Colorful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6">
    <w:name w:val="List Table 6 Colorful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7">
    <w:name w:val="List Table 6 Colorful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8">
    <w:name w:val="List Table 7 Colorful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9">
    <w:name w:val="List Table 7 Colorful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00">
    <w:name w:val="List Table 7 Colorful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1">
    <w:name w:val="List Table 7 Colorful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2">
    <w:name w:val="List Table 7 Colorful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3">
    <w:name w:val="List Table 7 Colorful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04">
    <w:name w:val="List Table 7 Colorful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5">
    <w:name w:val="Lined - Accent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6">
    <w:name w:val="Lined - Accent 1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07">
    <w:name w:val="Lined - Accent 2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8">
    <w:name w:val="Lined - Accent 3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9">
    <w:name w:val="Lined - Accent 4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0">
    <w:name w:val="Lined - Accent 5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11">
    <w:name w:val="Lined - Accent 6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2">
    <w:name w:val="Bordered &amp; Lined - Accent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3">
    <w:name w:val="Bordered &amp; Lined - Accent 1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14">
    <w:name w:val="Bordered &amp; Lined - Accent 2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5">
    <w:name w:val="Bordered &amp; Lined - Accent 3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6">
    <w:name w:val="Bordered &amp; Lined - Accent 4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7">
    <w:name w:val="Bordered &amp; Lined - Accent 5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18">
    <w:name w:val="Bordered &amp; Lined - Accent 6"/>
    <w:basedOn w:val="10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9">
    <w:name w:val="Bordered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0">
    <w:name w:val="Bordered - Accent 1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1">
    <w:name w:val="Bordered - Accent 2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2">
    <w:name w:val="Bordered - Accent 3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3">
    <w:name w:val="Bordered - Accent 4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4">
    <w:name w:val="Bordered - Accent 5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5">
    <w:name w:val="Bordered - Accent 6"/>
    <w:basedOn w:val="10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6">
    <w:name w:val="Footnote Text Char"/>
    <w:link w:val="1074"/>
    <w:uiPriority w:val="99"/>
    <w:rPr>
      <w:sz w:val="18"/>
    </w:rPr>
  </w:style>
  <w:style w:type="paragraph" w:styleId="1027">
    <w:name w:val="endnote text"/>
    <w:basedOn w:val="1041"/>
    <w:link w:val="1028"/>
    <w:uiPriority w:val="99"/>
    <w:semiHidden/>
    <w:unhideWhenUsed/>
    <w:pPr>
      <w:spacing w:after="0" w:line="240" w:lineRule="auto"/>
    </w:pPr>
    <w:rPr>
      <w:sz w:val="20"/>
    </w:rPr>
  </w:style>
  <w:style w:type="character" w:styleId="1028">
    <w:name w:val="Endnote Text Char"/>
    <w:link w:val="1027"/>
    <w:uiPriority w:val="99"/>
    <w:rPr>
      <w:sz w:val="20"/>
    </w:rPr>
  </w:style>
  <w:style w:type="character" w:styleId="1029">
    <w:name w:val="endnote reference"/>
    <w:basedOn w:val="1044"/>
    <w:uiPriority w:val="99"/>
    <w:semiHidden/>
    <w:unhideWhenUsed/>
    <w:rPr>
      <w:vertAlign w:val="superscript"/>
    </w:rPr>
  </w:style>
  <w:style w:type="paragraph" w:styleId="1030">
    <w:name w:val="toc 1"/>
    <w:basedOn w:val="1041"/>
    <w:next w:val="1041"/>
    <w:uiPriority w:val="39"/>
    <w:unhideWhenUsed/>
    <w:pPr>
      <w:ind w:left="0" w:right="0" w:firstLine="0"/>
      <w:spacing w:after="57"/>
    </w:pPr>
  </w:style>
  <w:style w:type="paragraph" w:styleId="1031">
    <w:name w:val="toc 2"/>
    <w:basedOn w:val="1041"/>
    <w:next w:val="1041"/>
    <w:uiPriority w:val="39"/>
    <w:unhideWhenUsed/>
    <w:pPr>
      <w:ind w:left="283" w:right="0" w:firstLine="0"/>
      <w:spacing w:after="57"/>
    </w:pPr>
  </w:style>
  <w:style w:type="paragraph" w:styleId="1032">
    <w:name w:val="toc 3"/>
    <w:basedOn w:val="1041"/>
    <w:next w:val="1041"/>
    <w:uiPriority w:val="39"/>
    <w:unhideWhenUsed/>
    <w:pPr>
      <w:ind w:left="567" w:right="0" w:firstLine="0"/>
      <w:spacing w:after="57"/>
    </w:pPr>
  </w:style>
  <w:style w:type="paragraph" w:styleId="1033">
    <w:name w:val="toc 4"/>
    <w:basedOn w:val="1041"/>
    <w:next w:val="1041"/>
    <w:uiPriority w:val="39"/>
    <w:unhideWhenUsed/>
    <w:pPr>
      <w:ind w:left="850" w:right="0" w:firstLine="0"/>
      <w:spacing w:after="57"/>
    </w:pPr>
  </w:style>
  <w:style w:type="paragraph" w:styleId="1034">
    <w:name w:val="toc 5"/>
    <w:basedOn w:val="1041"/>
    <w:next w:val="1041"/>
    <w:uiPriority w:val="39"/>
    <w:unhideWhenUsed/>
    <w:pPr>
      <w:ind w:left="1134" w:right="0" w:firstLine="0"/>
      <w:spacing w:after="57"/>
    </w:pPr>
  </w:style>
  <w:style w:type="paragraph" w:styleId="1035">
    <w:name w:val="toc 6"/>
    <w:basedOn w:val="1041"/>
    <w:next w:val="1041"/>
    <w:uiPriority w:val="39"/>
    <w:unhideWhenUsed/>
    <w:pPr>
      <w:ind w:left="1417" w:right="0" w:firstLine="0"/>
      <w:spacing w:after="57"/>
    </w:pPr>
  </w:style>
  <w:style w:type="paragraph" w:styleId="1036">
    <w:name w:val="toc 7"/>
    <w:basedOn w:val="1041"/>
    <w:next w:val="1041"/>
    <w:uiPriority w:val="39"/>
    <w:unhideWhenUsed/>
    <w:pPr>
      <w:ind w:left="1701" w:right="0" w:firstLine="0"/>
      <w:spacing w:after="57"/>
    </w:pPr>
  </w:style>
  <w:style w:type="paragraph" w:styleId="1037">
    <w:name w:val="toc 8"/>
    <w:basedOn w:val="1041"/>
    <w:next w:val="1041"/>
    <w:uiPriority w:val="39"/>
    <w:unhideWhenUsed/>
    <w:pPr>
      <w:ind w:left="1984" w:right="0" w:firstLine="0"/>
      <w:spacing w:after="57"/>
    </w:pPr>
  </w:style>
  <w:style w:type="paragraph" w:styleId="1038">
    <w:name w:val="toc 9"/>
    <w:basedOn w:val="1041"/>
    <w:next w:val="1041"/>
    <w:uiPriority w:val="39"/>
    <w:unhideWhenUsed/>
    <w:pPr>
      <w:ind w:left="2268" w:right="0" w:firstLine="0"/>
      <w:spacing w:after="57"/>
    </w:pPr>
  </w:style>
  <w:style w:type="paragraph" w:styleId="1039">
    <w:name w:val="TOC Heading"/>
    <w:uiPriority w:val="39"/>
    <w:unhideWhenUsed/>
  </w:style>
  <w:style w:type="paragraph" w:styleId="1040">
    <w:name w:val="table of figures"/>
    <w:basedOn w:val="1041"/>
    <w:next w:val="1041"/>
    <w:uiPriority w:val="99"/>
    <w:unhideWhenUsed/>
    <w:pPr>
      <w:spacing w:after="0" w:afterAutospacing="0"/>
    </w:pPr>
  </w:style>
  <w:style w:type="paragraph" w:styleId="1041" w:default="1">
    <w:name w:val="Normal"/>
    <w:qFormat/>
    <w:pPr>
      <w:widowControl w:val="off"/>
    </w:pPr>
  </w:style>
  <w:style w:type="paragraph" w:styleId="1042">
    <w:name w:val="Heading 1"/>
    <w:basedOn w:val="1041"/>
    <w:next w:val="104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43">
    <w:name w:val="Heading 3"/>
    <w:basedOn w:val="1041"/>
    <w:next w:val="1041"/>
    <w:link w:val="1068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44" w:default="1">
    <w:name w:val="Default Paragraph Font"/>
    <w:uiPriority w:val="1"/>
    <w:semiHidden/>
    <w:unhideWhenUsed/>
  </w:style>
  <w:style w:type="table" w:styleId="10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6" w:default="1">
    <w:name w:val="No List"/>
    <w:uiPriority w:val="99"/>
    <w:semiHidden/>
    <w:unhideWhenUsed/>
  </w:style>
  <w:style w:type="paragraph" w:styleId="1047">
    <w:name w:val="Title"/>
    <w:basedOn w:val="1041"/>
    <w:link w:val="1054"/>
    <w:qFormat/>
    <w:pPr>
      <w:jc w:val="center"/>
    </w:pPr>
    <w:rPr>
      <w:b/>
      <w:bCs/>
      <w:sz w:val="24"/>
      <w:szCs w:val="24"/>
    </w:rPr>
  </w:style>
  <w:style w:type="paragraph" w:styleId="1048" w:customStyle="1">
    <w:name w:val="Таблицы (моноширинный)"/>
    <w:basedOn w:val="1041"/>
    <w:next w:val="1041"/>
    <w:pPr>
      <w:jc w:val="both"/>
    </w:pPr>
    <w:rPr>
      <w:rFonts w:ascii="Courier New" w:hAnsi="Courier New" w:cs="Courier New"/>
    </w:rPr>
  </w:style>
  <w:style w:type="paragraph" w:styleId="1049">
    <w:name w:val="Body Text Indent 2"/>
    <w:basedOn w:val="1041"/>
    <w:pPr>
      <w:ind w:left="1843"/>
      <w:jc w:val="both"/>
    </w:pPr>
    <w:rPr>
      <w:sz w:val="24"/>
    </w:rPr>
  </w:style>
  <w:style w:type="paragraph" w:styleId="1050">
    <w:name w:val="Balloon Text"/>
    <w:basedOn w:val="1041"/>
    <w:semiHidden/>
    <w:rPr>
      <w:rFonts w:ascii="Tahoma" w:hAnsi="Tahoma" w:cs="Tahoma"/>
      <w:sz w:val="16"/>
      <w:szCs w:val="16"/>
    </w:rPr>
  </w:style>
  <w:style w:type="paragraph" w:styleId="1051">
    <w:name w:val="Body Text 2"/>
    <w:basedOn w:val="1041"/>
    <w:pPr>
      <w:spacing w:after="120" w:line="480" w:lineRule="auto"/>
      <w:widowControl/>
    </w:pPr>
    <w:rPr>
      <w:sz w:val="24"/>
      <w:szCs w:val="24"/>
    </w:rPr>
  </w:style>
  <w:style w:type="paragraph" w:styleId="1052">
    <w:name w:val="Body Text"/>
    <w:basedOn w:val="1041"/>
    <w:link w:val="1055"/>
    <w:pPr>
      <w:spacing w:after="120"/>
    </w:pPr>
  </w:style>
  <w:style w:type="table" w:styleId="1053">
    <w:name w:val="Table Grid"/>
    <w:basedOn w:val="104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54" w:customStyle="1">
    <w:name w:val="Заголовок Знак"/>
    <w:link w:val="1047"/>
    <w:rPr>
      <w:b/>
      <w:bCs/>
      <w:sz w:val="24"/>
      <w:szCs w:val="24"/>
      <w:lang w:val="ru-RU" w:eastAsia="ru-RU" w:bidi="ar-SA"/>
    </w:rPr>
  </w:style>
  <w:style w:type="character" w:styleId="1055" w:customStyle="1">
    <w:name w:val="Основной текст Знак"/>
    <w:link w:val="1052"/>
    <w:rPr>
      <w:lang w:val="ru-RU" w:eastAsia="ru-RU" w:bidi="ar-SA"/>
    </w:rPr>
  </w:style>
  <w:style w:type="paragraph" w:styleId="1056">
    <w:name w:val="Footer"/>
    <w:basedOn w:val="1041"/>
    <w:link w:val="1087"/>
    <w:uiPriority w:val="99"/>
    <w:pPr>
      <w:tabs>
        <w:tab w:val="center" w:pos="4677" w:leader="none"/>
        <w:tab w:val="right" w:pos="9355" w:leader="none"/>
      </w:tabs>
    </w:pPr>
  </w:style>
  <w:style w:type="character" w:styleId="1057">
    <w:name w:val="page number"/>
    <w:basedOn w:val="1044"/>
  </w:style>
  <w:style w:type="paragraph" w:styleId="1058">
    <w:name w:val="Body Text 3"/>
    <w:basedOn w:val="1041"/>
    <w:link w:val="1059"/>
    <w:pPr>
      <w:spacing w:after="120"/>
    </w:pPr>
    <w:rPr>
      <w:sz w:val="16"/>
      <w:szCs w:val="16"/>
    </w:rPr>
  </w:style>
  <w:style w:type="character" w:styleId="1059" w:customStyle="1">
    <w:name w:val="Основной текст 3 Знак"/>
    <w:link w:val="1058"/>
    <w:rPr>
      <w:sz w:val="16"/>
      <w:szCs w:val="16"/>
    </w:rPr>
  </w:style>
  <w:style w:type="character" w:styleId="1060">
    <w:name w:val="annotation reference"/>
    <w:rPr>
      <w:sz w:val="16"/>
      <w:szCs w:val="16"/>
    </w:rPr>
  </w:style>
  <w:style w:type="paragraph" w:styleId="1061">
    <w:name w:val="annotation text"/>
    <w:basedOn w:val="1041"/>
    <w:link w:val="1062"/>
  </w:style>
  <w:style w:type="character" w:styleId="1062" w:customStyle="1">
    <w:name w:val="Текст примечания Знак"/>
    <w:basedOn w:val="1044"/>
    <w:link w:val="1061"/>
  </w:style>
  <w:style w:type="paragraph" w:styleId="1063">
    <w:name w:val="annotation subject"/>
    <w:basedOn w:val="1061"/>
    <w:next w:val="1061"/>
    <w:link w:val="1064"/>
    <w:rPr>
      <w:b/>
      <w:bCs/>
    </w:rPr>
  </w:style>
  <w:style w:type="character" w:styleId="1064" w:customStyle="1">
    <w:name w:val="Тема примечания Знак"/>
    <w:link w:val="1063"/>
    <w:rPr>
      <w:b/>
      <w:bCs/>
    </w:rPr>
  </w:style>
  <w:style w:type="paragraph" w:styleId="1065">
    <w:name w:val="List Paragraph"/>
    <w:basedOn w:val="1041"/>
    <w:uiPriority w:val="34"/>
    <w:qFormat/>
    <w:pPr>
      <w:contextualSpacing/>
      <w:ind w:left="720"/>
    </w:pPr>
  </w:style>
  <w:style w:type="paragraph" w:styleId="1066" w:customStyle="1">
    <w:name w:val="Знак Знак Знак Знак Знак Знак Знак Знак Знак"/>
    <w:basedOn w:val="1041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67" w:customStyle="1">
    <w:name w:val="Подпункт договора"/>
    <w:basedOn w:val="1041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68" w:customStyle="1">
    <w:name w:val="Заголовок 3 Знак"/>
    <w:link w:val="1043"/>
    <w:semiHidden/>
    <w:rPr>
      <w:rFonts w:ascii="Cambria" w:hAnsi="Cambria" w:eastAsia="Times New Roman" w:cs="Times New Roman"/>
      <w:b/>
      <w:bCs/>
      <w:color w:val="4f81bd"/>
    </w:rPr>
  </w:style>
  <w:style w:type="paragraph" w:styleId="106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70">
    <w:name w:val="Body Text Indent"/>
    <w:basedOn w:val="1041"/>
    <w:link w:val="1071"/>
    <w:pPr>
      <w:ind w:left="283"/>
      <w:spacing w:after="120"/>
    </w:pPr>
  </w:style>
  <w:style w:type="character" w:styleId="1071" w:customStyle="1">
    <w:name w:val="Основной текст с отступом Знак"/>
    <w:basedOn w:val="1044"/>
    <w:link w:val="1070"/>
  </w:style>
  <w:style w:type="paragraph" w:styleId="1072" w:customStyle="1">
    <w:name w:val="Знак"/>
    <w:basedOn w:val="1041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73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74">
    <w:name w:val="footnote text"/>
    <w:basedOn w:val="1041"/>
    <w:link w:val="1075"/>
  </w:style>
  <w:style w:type="character" w:styleId="1075" w:customStyle="1">
    <w:name w:val="Текст сноски Знак"/>
    <w:basedOn w:val="1044"/>
    <w:link w:val="1074"/>
  </w:style>
  <w:style w:type="character" w:styleId="1076">
    <w:name w:val="footnote reference"/>
    <w:rPr>
      <w:vertAlign w:val="superscript"/>
    </w:rPr>
  </w:style>
  <w:style w:type="paragraph" w:styleId="1077">
    <w:name w:val="List Bullet 3"/>
    <w:basedOn w:val="1041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78" w:customStyle="1">
    <w:name w:val="Контракт-пункт"/>
    <w:basedOn w:val="1041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79">
    <w:name w:val="Document Map"/>
    <w:basedOn w:val="1041"/>
    <w:semiHidden/>
    <w:pPr>
      <w:shd w:val="clear" w:color="auto" w:fill="000080"/>
    </w:pPr>
    <w:rPr>
      <w:rFonts w:ascii="Tahoma" w:hAnsi="Tahoma" w:cs="Tahoma"/>
    </w:rPr>
  </w:style>
  <w:style w:type="paragraph" w:styleId="1080">
    <w:name w:val="Revision"/>
    <w:hidden/>
    <w:uiPriority w:val="99"/>
    <w:semiHidden/>
  </w:style>
  <w:style w:type="paragraph" w:styleId="1081">
    <w:name w:val="Header"/>
    <w:basedOn w:val="1041"/>
    <w:link w:val="1082"/>
    <w:uiPriority w:val="99"/>
    <w:pPr>
      <w:tabs>
        <w:tab w:val="center" w:pos="4677" w:leader="none"/>
        <w:tab w:val="right" w:pos="9355" w:leader="none"/>
      </w:tabs>
    </w:pPr>
  </w:style>
  <w:style w:type="character" w:styleId="1082" w:customStyle="1">
    <w:name w:val="Верхний колонтитул Знак"/>
    <w:basedOn w:val="1044"/>
    <w:link w:val="1081"/>
    <w:uiPriority w:val="99"/>
  </w:style>
  <w:style w:type="paragraph" w:styleId="1083" w:customStyle="1">
    <w:name w:val="Пункт договора"/>
    <w:basedOn w:val="1041"/>
    <w:pPr>
      <w:jc w:val="both"/>
    </w:pPr>
    <w:rPr>
      <w:rFonts w:ascii="Arial" w:hAnsi="Arial"/>
    </w:rPr>
  </w:style>
  <w:style w:type="paragraph" w:styleId="1084" w:customStyle="1">
    <w:name w:val="Знак Знак Знак Знак Знак Знак Знак Знак Знак1"/>
    <w:basedOn w:val="1041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85">
    <w:name w:val="Hyperlink"/>
    <w:rPr>
      <w:color w:val="0000ff"/>
      <w:u w:val="single"/>
    </w:rPr>
  </w:style>
  <w:style w:type="paragraph" w:styleId="1086" w:customStyle="1">
    <w:name w:val="Обычный1"/>
  </w:style>
  <w:style w:type="character" w:styleId="1087" w:customStyle="1">
    <w:name w:val="Нижний колонтитул Знак"/>
    <w:link w:val="1056"/>
    <w:uiPriority w:val="99"/>
  </w:style>
  <w:style w:type="paragraph" w:styleId="1088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89">
    <w:name w:val="Normal (Web)"/>
    <w:basedOn w:val="1041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90" w:customStyle="1">
    <w:name w:val="StGen0"/>
    <w:basedOn w:val="1041"/>
    <w:next w:val="1047"/>
    <w:link w:val="1091"/>
    <w:qFormat/>
    <w:pPr>
      <w:jc w:val="center"/>
    </w:pPr>
    <w:rPr>
      <w:b/>
      <w:bCs/>
      <w:sz w:val="24"/>
      <w:szCs w:val="24"/>
    </w:rPr>
  </w:style>
  <w:style w:type="character" w:styleId="1091" w:customStyle="1">
    <w:name w:val="Название Знак"/>
    <w:link w:val="1090"/>
    <w:rPr>
      <w:b/>
      <w:bCs/>
      <w:sz w:val="24"/>
      <w:szCs w:val="24"/>
    </w:rPr>
  </w:style>
  <w:style w:type="paragraph" w:styleId="1092" w:customStyle="1">
    <w:name w:val="ConsNonformat"/>
    <w:rPr>
      <w:rFonts w:ascii="Courier New" w:hAnsi="Courier New" w:cs="Courier New"/>
    </w:rPr>
  </w:style>
  <w:style w:type="paragraph" w:styleId="1093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1094" w:customStyle="1">
    <w:name w:val="Заголовок 71"/>
    <w:link w:val="955"/>
    <w:uiPriority w:val="9"/>
    <w:unhideWhenUsed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6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95" w:customStyle="1">
    <w:name w:val="Текст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96" w:customStyle="1">
    <w:name w:val="Знак сноски"/>
    <w:rPr>
      <w:vertAlign w:val="superscript"/>
    </w:rPr>
  </w:style>
  <w:style w:type="paragraph" w:styleId="1097" w:customStyle="1">
    <w:name w:val="Заголовок 1"/>
    <w:qFormat/>
    <w:pPr>
      <w:contextualSpacing w:val="0"/>
      <w:ind w:left="0" w:right="0" w:firstLine="0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Cambria" w:hAnsi="Cambria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32"/>
      <w:szCs w:val="3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98" w:customStyle="1">
    <w:name w:val="Знак концевой сноски"/>
    <w:uiPriority w:val="99"/>
    <w:rPr>
      <w:vertAlign w:val="superscript"/>
    </w:rPr>
  </w:style>
  <w:style w:type="paragraph" w:styleId="1099" w:customStyle="1">
    <w:name w:val="Текст концевой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malyutina_en</cp:lastModifiedBy>
  <cp:revision>41</cp:revision>
  <dcterms:created xsi:type="dcterms:W3CDTF">2019-09-20T01:52:00Z</dcterms:created>
  <dcterms:modified xsi:type="dcterms:W3CDTF">2026-04-10T00:58:24Z</dcterms:modified>
</cp:coreProperties>
</file>